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7072026_080730.xml.htm"/>
      <w:bookmarkStart w:id="1" w:name="ksform307072026_08073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Zaytsev Evgeny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CALCIMEDICA,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505 COAST S. BLVD, SUITE 300-9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JOLLA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07/02/2026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CalciMedica, Inc.</w:t>
              </w:r>
            </w:hyperlink>
            <w:r>
              <w:rPr/>
              <w:t xml:space="preserve"> [ </w:t>
            </w:r>
            <w:r>
              <w:rPr>
                <w:rFonts w:ascii="Times;serif" w:hAnsi="Times;serif"/>
                <w:color w:val="0000FF"/>
                <w:sz w:val="24"/>
                <w:shd w:fill="FFFFFF" w:val="clear"/>
              </w:rPr>
              <w:t>CALC</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2,113,513</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Bering Partners II, L.P.</w:t>
            </w:r>
            <w:r>
              <w:rPr>
                <w:rFonts w:ascii="Times;serif" w:hAnsi="Times;serif"/>
                <w:color w:val="008000"/>
                <w:position w:val="7"/>
                <w:sz w:val="16"/>
                <w:sz w:val="20"/>
                <w:shd w:fill="FFFFFF" w:val="clear"/>
              </w:rPr>
              <w:t>(1)</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Warrant</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01/23/2024</w:t>
            </w:r>
            <w:r>
              <w:rPr>
                <w:rFonts w:ascii="Times;serif" w:hAnsi="Times;serif"/>
                <w:color w:val="008000"/>
                <w:position w:val="7"/>
                <w:sz w:val="16"/>
                <w:sz w:val="20"/>
                <w:shd w:fill="FFFFFF" w:val="clear"/>
              </w:rPr>
              <w:t>(2)</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12/31/2026</w:t>
            </w:r>
            <w:r>
              <w:rPr>
                <w:rFonts w:ascii="Times;serif" w:hAnsi="Times;serif"/>
                <w:color w:val="008000"/>
                <w:position w:val="7"/>
                <w:sz w:val="16"/>
                <w:sz w:val="20"/>
                <w:shd w:fill="FFFFFF" w:val="clear"/>
              </w:rPr>
              <w:t>(2)</w:t>
            </w:r>
            <w:r>
              <w:rPr/>
              <w:t xml:space="preserve"> </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130,651</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7.15</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Bering Partners II, L.P.</w:t>
            </w:r>
            <w:r>
              <w:rPr>
                <w:rFonts w:ascii="Times;serif" w:hAnsi="Times;serif"/>
                <w:color w:val="008000"/>
                <w:position w:val="7"/>
                <w:sz w:val="16"/>
                <w:sz w:val="20"/>
                <w:shd w:fill="FFFFFF" w:val="clear"/>
              </w:rPr>
              <w:t>(1)</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are held by Bering Partners II, L.P. ("Bering II"). Bering Partners II GP, L.L.C. ("Bering II GP") is the general partner of Bering II and may be deemed to have voting and dispositive power over the securities held by Bering II. The Reporting Person, a member of the Issuer's board of directors, and Philip Sawyer are the managing members of Bering II GP and may be deemed to have voting and dispositive power with respect to these securities. Each of Bering II GP, the Reporting Person and Mr. Sawyer disclaim beneficial ownership of the securities held by Bering II, except to the extent of such person's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warrant may be exercised on or after January 23, 2024, and on or prior to the earlier of (i) 5:00 p.m. (ET) on December 31, 2026 and (ii) thirty (30) days following the Issuer's public disclosure of topline results from the Issuer's planned Phase 2 clinical trial in patients with acute kidney injury but not thereafter; provided, however, that the holder will be prohibited, subject to certain exceptions, from exercising such warrant for shares of common stock of the Issuer to the extent that immediately prior to or after giving effect to such exercise, the holder, together with its affiliates and other attribution parties, would own more than 4.99% of the total number of shares of common stock of the Issuer then issued and outstanding, which percentage may be changed at the holder's election to a lower percentage at any time or to a higher percentage upon 61 days' notice to the Issuer. On July 2, 2026, Bering II provided notice to the Issuer to increase such percentage to 19.99%.</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Dunn, Esq.,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7072026_080731.htm"/>
      <w:bookmarkStart w:id="3" w:name="ksex2407072026_080731"/>
      <w:bookmarkStart w:id="4" w:name="ex24-07072026_080731.htm"/>
      <w:bookmarkStart w:id="5" w:name="ksex2407072026_080731"/>
      <w:bookmarkEnd w:id="4"/>
      <w:bookmarkEnd w:id="5"/>
      <w:r>
        <w:br w:type="page"/>
      </w:r>
    </w:p>
    <w:p>
      <w:pPr>
        <w:pStyle w:val="TextBody"/>
        <w:bidi w:val="0"/>
        <w:spacing w:before="0" w:after="0"/>
        <w:ind w:left="0" w:right="0" w:hanging="0"/>
        <w:jc w:val="left"/>
        <w:rPr/>
      </w:pPr>
      <w:r>
        <w:rPr/>
      </w:r>
    </w:p>
    <w:p>
      <w:pPr>
        <w:pStyle w:val="TextBody"/>
        <w:bidi w:val="0"/>
        <w:spacing w:lineRule="atLeast" w:line="240" w:before="0" w:after="210"/>
        <w:jc w:val="center"/>
        <w:rPr>
          <w:b/>
          <w:sz w:val="22"/>
        </w:rPr>
      </w:pPr>
      <w:r>
        <w:rPr>
          <w:b/>
          <w:sz w:val="22"/>
        </w:rPr>
        <w:t>POWER OF ATTORNEY</w:t>
      </w:r>
    </w:p>
    <w:p>
      <w:pPr>
        <w:pStyle w:val="TextBody"/>
        <w:bidi w:val="0"/>
        <w:spacing w:before="0" w:after="210"/>
        <w:ind w:left="0" w:right="0" w:firstLine="720"/>
        <w:jc w:val="both"/>
        <w:rPr>
          <w:sz w:val="22"/>
        </w:rPr>
      </w:pPr>
      <w:r>
        <w:rPr>
          <w:sz w:val="22"/>
        </w:rPr>
        <w:t xml:space="preserve">Know all by these presents, that the undersigned hereby constitutes and appoints each of A. Rachel Leheny, Ph.D., Michael Dunn and John Dunn of CalciMedica, Inc. (the </w:t>
      </w:r>
      <w:r>
        <w:rPr>
          <w:b/>
          <w:i/>
          <w:sz w:val="22"/>
        </w:rPr>
        <w:t>Company</w:t>
      </w:r>
      <w:r>
        <w:rPr>
          <w:sz w:val="22"/>
        </w:rPr>
        <w:t xml:space="preserve">), signing individually, the undersigneds true and lawful attorney-in fact and agent to: </w:t>
      </w:r>
    </w:p>
    <w:p>
      <w:pPr>
        <w:pStyle w:val="TextBody"/>
        <w:bidi w:val="0"/>
        <w:spacing w:before="0" w:after="0"/>
        <w:ind w:left="0" w:right="0" w:hanging="30"/>
        <w:jc w:val="both"/>
        <w:rPr>
          <w:sz w:val="22"/>
        </w:rPr>
      </w:pPr>
      <w:r>
        <w:rPr>
          <w:sz w:val="22"/>
        </w:rPr>
        <w:t>prepare, execute in the undersigned's name and on the undersigned's behalf, and submit to the Securities and Exchange Commission (the "</w:t>
      </w:r>
      <w:r>
        <w:rPr>
          <w:b/>
          <w:i/>
          <w:sz w:val="22"/>
        </w:rPr>
        <w:t>SEC</w:t>
      </w:r>
      <w:r>
        <w:rPr>
          <w:sz w:val="22"/>
        </w:rPr>
        <w:t>") Forms 3, 4 and 5 (including any amendments thereto) in accordance with Section 16(a) of the Securities Exchange Act of 1934, as amended (the "</w:t>
      </w:r>
      <w:r>
        <w:rPr>
          <w:b/>
          <w:i/>
          <w:sz w:val="22"/>
        </w:rPr>
        <w:t>Exchange Act</w:t>
      </w:r>
      <w:r>
        <w:rPr>
          <w:sz w:val="22"/>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60655"/>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60655"/>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60655"/>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sz w:val="22"/>
        </w:rPr>
      </w:pPr>
      <w:r>
        <w:rPr>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sz w:val="22"/>
        </w:rPr>
      </w:pPr>
      <w:r>
        <w:rPr>
          <w:sz w:val="22"/>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sz w:val="22"/>
        </w:rPr>
      </w:pPr>
      <w:r>
        <w:rPr>
          <w:sz w:val="22"/>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30"/>
        <w:jc w:val="both"/>
        <w:rPr>
          <w:sz w:val="22"/>
          <w:u w:val="single"/>
        </w:rPr>
      </w:pPr>
      <w:r>
        <w:rPr>
          <w:sz w:val="22"/>
          <w:u w:val="single"/>
        </w:rPr>
        <w:t>/s/ Evgeny Zaytsev</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486150" cy="175260"/>
                <wp:effectExtent l="0" t="0" r="0" b="0"/>
                <wp:wrapSquare wrapText="right"/>
                <wp:docPr id="6" name="Frame4"/>
                <a:graphic xmlns:a="http://schemas.openxmlformats.org/drawingml/2006/main">
                  <a:graphicData uri="http://schemas.microsoft.com/office/word/2010/wordprocessingShape">
                    <wps:wsp>
                      <wps:cNvSpPr txBox="1"/>
                      <wps:spPr>
                        <a:xfrm>
                          <a:off x="0" y="0"/>
                          <a:ext cx="3486150" cy="175260"/>
                        </a:xfrm>
                        <a:prstGeom prst="rect"/>
                        <a:solidFill>
                          <a:srgbClr val="FFFFFF"/>
                        </a:solidFill>
                      </wps:spPr>
                      <wps:txbx>
                        <w:txbxContent>
                          <w:p>
                            <w:pPr>
                              <w:pStyle w:val="TextBody"/>
                              <w:bidi w:val="0"/>
                              <w:spacing w:before="0" w:after="283"/>
                              <w:jc w:val="left"/>
                              <w:rPr/>
                            </w:pPr>
                            <w:r>
                              <w:rPr/>
                              <w:t>Date:  </w:t>
                            </w:r>
                            <w:r>
                              <w:rPr>
                                <w:b w:val="false"/>
                                <w:sz w:val="22"/>
                                <w:u w:val="single"/>
                              </w:rPr>
                              <w:t>7/2/2026</w:t>
                            </w:r>
                          </w:p>
                        </w:txbxContent>
                      </wps:txbx>
                      <wps:bodyPr anchor="t" lIns="0" tIns="0" rIns="0" bIns="0">
                        <a:noAutofit/>
                      </wps:bodyPr>
                    </wps:wsp>
                  </a:graphicData>
                </a:graphic>
              </wp:anchor>
            </w:drawing>
          </mc:Choice>
          <mc:Fallback>
            <w:pict>
              <v:rect style="position:absolute;rotation:-0;width: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w:t>
                      </w:r>
                      <w:r>
                        <w:rPr>
                          <w:b w:val="false"/>
                          <w:sz w:val="22"/>
                          <w:u w:val="single"/>
                        </w:rPr>
                        <w:t>7/2/2026</w:t>
                      </w:r>
                    </w:p>
                  </w:txbxContent>
                </v:textbox>
                <w10:wrap type="square" side="right"/>
              </v:rect>
            </w:pict>
          </mc:Fallback>
        </mc:AlternateContent>
      </w:r>
    </w:p>
    <w:p>
      <w:pPr>
        <w:pStyle w:val="TextBody"/>
        <w:pBdr/>
        <w:bidi w:val="0"/>
        <w:spacing w:before="0" w:after="0"/>
        <w:ind w:left="0" w:right="0" w:hanging="0"/>
        <w:jc w:val="both"/>
        <w:rPr>
          <w:sz w:val="22"/>
        </w:rPr>
      </w:pPr>
      <w:r>
        <w:rPr>
          <w:sz w:val="22"/>
        </w:rPr>
        <w:t>Name:  Evgeny Zaytsev</w:t>
      </w:r>
    </w:p>
    <w:p>
      <w:pPr>
        <w:pStyle w:val="TextBody"/>
        <w:bidi w:val="0"/>
        <w:spacing w:before="0" w:after="0"/>
        <w:ind w:left="0" w:right="0" w:hanging="0"/>
        <w:jc w:val="both"/>
        <w:rPr/>
      </w:pPr>
      <w:r>
        <w:rPr/>
        <w:br/>
      </w:r>
    </w:p>
    <w:p>
      <w:pPr>
        <w:pStyle w:val="TextBody"/>
        <w:bidi w:val="0"/>
        <w:spacing w:lineRule="atLeast" w:line="200" w:before="0" w:after="0"/>
        <w:ind w:left="0" w:right="0" w:hanging="0"/>
        <w:jc w:val="left"/>
        <w:rPr/>
      </w:pPr>
      <w:r>
        <w:rPr/>
        <w:t>  </w: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74797" TargetMode="External"/><Relationship Id="rId3" Type="http://schemas.openxmlformats.org/officeDocument/2006/relationships/hyperlink" Target="http://www.sec.gov/cgi-bin/browse-edgar?action=getcompany&amp;CIK=000153413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1196</Words>
  <Characters>6217</Characters>
  <CharactersWithSpaces>7356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