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center"/>
        <w:rPr/>
      </w:pPr>
      <w:bookmarkStart w:id="0" w:name="ck0001534133-20251231.htm"/>
      <w:bookmarkStart w:id="1" w:name="ksck0001534133202512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FORM 10-K/A</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(AMENDMENT NO. 1)</w:t>
      </w:r>
    </w:p>
    <w:p>
      <w:pPr>
        <w:pStyle w:val="TextBody"/>
        <w:pBdr>
          <w:bottom w:val="single" w:sz="8" w:space="1" w:color="000000"/>
        </w:pBdr>
        <w:bidi w:val="0"/>
        <w:jc w:val="center"/>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(Mark One)</w:t>
      </w:r>
    </w:p>
    <w:p>
      <w:pPr>
        <w:pStyle w:val="TextBody"/>
        <w:bidi w:val="0"/>
        <w:jc w:val="both"/>
        <w:rPr/>
      </w:pPr>
      <w:r>
        <w:rPr/>
        <w:t> </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001-39538</w:t>
      </w:r>
    </w:p>
    <w:p>
      <w:pPr>
        <w:pStyle w:val="TextBody"/>
        <w:bidi w:val="0"/>
        <w:spacing w:before="80" w:after="283"/>
        <w:jc w:val="center"/>
        <w:rPr>
          <w:rFonts w:ascii="Times New Roman" w:hAnsi="Times New Roman"/>
          <w:b/>
          <w:color w:val="000000"/>
          <w:sz w:val="29"/>
        </w:rPr>
      </w:pPr>
      <w:r>
        <w:rPr>
          <w:rFonts w:ascii="Times New Roman" w:hAnsi="Times New Roman"/>
          <w:b/>
          <w:color w:val="000000"/>
          <w:sz w:val="29"/>
        </w:rPr>
        <w:t>CalciMedica,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4161" w:type="dxa"/>
        <w:jc w:val="left"/>
        <w:tblInd w:w="0" w:type="dxa"/>
        <w:tblLayout w:type="fixed"/>
        <w:tblCellMar>
          <w:top w:w="28" w:type="dxa"/>
          <w:left w:w="28" w:type="dxa"/>
          <w:bottom w:w="28" w:type="dxa"/>
          <w:right w:w="28" w:type="dxa"/>
        </w:tblCellMar>
      </w:tblPr>
      <w:tblGrid>
        <w:gridCol w:w="2566"/>
        <w:gridCol w:w="109"/>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45-2120079</w:t>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505 Coast Boulevard South, Suite 307</w:t>
      </w:r>
    </w:p>
    <w:p>
      <w:pPr>
        <w:pStyle w:val="TextBody"/>
        <w:bidi w:val="0"/>
        <w:jc w:val="center"/>
        <w:rPr>
          <w:rFonts w:ascii="Times New Roman" w:hAnsi="Times New Roman"/>
          <w:sz w:val="20"/>
        </w:rPr>
      </w:pPr>
      <w:r>
        <w:rPr>
          <w:rFonts w:ascii="Times New Roman" w:hAnsi="Times New Roman"/>
          <w:b/>
          <w:color w:val="000000"/>
          <w:sz w:val="20"/>
        </w:rPr>
        <w:t>La Jolla, CA</w:t>
      </w:r>
      <w:r>
        <w:rPr>
          <w:rFonts w:ascii="Times New Roman" w:hAnsi="Times New Roman"/>
          <w:color w:val="000000"/>
          <w:sz w:val="20"/>
        </w:rPr>
        <w:t xml:space="preserve"> </w:t>
      </w:r>
      <w:r>
        <w:rPr>
          <w:rFonts w:ascii="Times New Roman" w:hAnsi="Times New Roman"/>
          <w:b/>
          <w:color w:val="000000"/>
          <w:sz w:val="20"/>
        </w:rPr>
        <w:t>92037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952-5500</w:t>
      </w:r>
    </w:p>
    <w:p>
      <w:pPr>
        <w:pStyle w:val="TextBody"/>
        <w:pBdr>
          <w:bottom w:val="single" w:sz="8" w:space="1" w:color="000000"/>
        </w:pBdr>
        <w:bidi w:val="0"/>
        <w:jc w:val="center"/>
        <w:rPr/>
      </w:pPr>
      <w:r>
        <w:rPr/>
        <w:t>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Common Stock, par value $0.0001 per share</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CALC</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16"/>
        </w:rPr>
        <w:t xml:space="preserve"> </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939" w:type="dxa"/>
        <w:jc w:val="left"/>
        <w:tblInd w:w="0" w:type="dxa"/>
        <w:tblLayout w:type="fixed"/>
        <w:tblCellMar>
          <w:top w:w="28" w:type="dxa"/>
          <w:left w:w="28" w:type="dxa"/>
          <w:bottom w:w="28" w:type="dxa"/>
          <w:right w:w="28" w:type="dxa"/>
        </w:tblCellMar>
      </w:tblPr>
      <w:tblGrid>
        <w:gridCol w:w="1666"/>
        <w:gridCol w:w="109"/>
        <w:gridCol w:w="316"/>
        <w:gridCol w:w="146"/>
        <w:gridCol w:w="146"/>
        <w:gridCol w:w="2026"/>
        <w:gridCol w:w="109"/>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3"/>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3"/>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3"/>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3"/>
        </w:rPr>
        <w:t xml:space="preserve">Indicate by check mark whether the registrant is a shell company (as defined in Rule 12b-2 of the Exchange Act). </w:t>
      </w:r>
      <w:r>
        <w:rPr>
          <w:rFonts w:ascii="Times New Roman" w:hAnsi="Times New Roman"/>
          <w:caps/>
          <w:color w:val="000000"/>
          <w:sz w:val="13"/>
        </w:rPr>
        <w:t>Yes</w:t>
      </w:r>
      <w:r>
        <w:rPr>
          <w:rFonts w:ascii="Times New Roman" w:hAnsi="Times New Roman"/>
          <w:color w:val="000000"/>
          <w:sz w:val="20"/>
        </w:rPr>
        <w:t xml:space="preserve"> ☐ </w:t>
      </w:r>
      <w:r>
        <w:rPr>
          <w:rFonts w:ascii="Times New Roman" w:hAnsi="Times New Roman"/>
          <w:caps/>
          <w:color w:val="000000"/>
          <w:sz w:val="13"/>
        </w:rPr>
        <w:t>No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3"/>
        </w:rPr>
        <w:t>As of June 30, 2025, the last business day of the registrant’s most recently completed second fiscal quarter, the aggregate market value of common stock held by non-affiliates of the registrant computed by the closing price of the registrant’s common stock on</w:t>
      </w:r>
      <w:r>
        <w:rPr>
          <w:rFonts w:ascii="Times New Roman" w:hAnsi="Times New Roman"/>
          <w:color w:val="000000"/>
          <w:sz w:val="20"/>
        </w:rPr>
        <w:t xml:space="preserve"> </w:t>
      </w:r>
      <w:r>
        <w:rPr>
          <w:rFonts w:ascii="Times New Roman" w:hAnsi="Times New Roman"/>
          <w:color w:val="000000"/>
          <w:sz w:val="13"/>
        </w:rPr>
        <w:t>June 30, 2025 on the Nasdaq Capital Market was approximately $15.7</w:t>
      </w:r>
      <w:r>
        <w:rPr>
          <w:rFonts w:ascii="Times New Roman" w:hAnsi="Times New Roman"/>
          <w:color w:val="000000"/>
          <w:sz w:val="20"/>
        </w:rPr>
        <w:t xml:space="preserve"> </w:t>
      </w:r>
      <w:r>
        <w:rPr>
          <w:rFonts w:ascii="Times New Roman" w:hAnsi="Times New Roman"/>
          <w:color w:val="000000"/>
          <w:sz w:val="13"/>
        </w:rPr>
        <w:t>million. Shares of common stock held by each executive officer, director and their affiliated holders have been excluded in that such persons may be deemed to be affiliates. This determination of affiliate status is not necessarily a conclusive determination for other purposes.</w:t>
      </w:r>
      <w:r>
        <w:rPr>
          <w:rFonts w:ascii="Times New Roman" w:hAnsi="Times New Roman"/>
          <w:color w:val="000000"/>
          <w:sz w:val="20"/>
        </w:rPr>
        <w:t xml:space="preserve"> </w:t>
      </w:r>
    </w:p>
    <w:p>
      <w:pPr>
        <w:pStyle w:val="TextBody"/>
        <w:bidi w:val="0"/>
        <w:jc w:val="left"/>
        <w:rPr>
          <w:rFonts w:ascii="Times New Roman" w:hAnsi="Times New Roman"/>
          <w:color w:val="000000"/>
          <w:sz w:val="13"/>
        </w:rPr>
      </w:pPr>
      <w:r>
        <w:rPr>
          <w:rFonts w:ascii="Times New Roman" w:hAnsi="Times New Roman"/>
          <w:color w:val="000000"/>
          <w:sz w:val="13"/>
        </w:rPr>
        <w:t>The number of shares of Registrant’s Common Stock outstanding as of February 25, 2026 was 15,743,916</w:t>
      </w:r>
    </w:p>
    <w:p>
      <w:pPr>
        <w:pStyle w:val="TextBody"/>
        <w:bidi w:val="0"/>
        <w:spacing w:before="12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120" w:after="283"/>
        <w:jc w:val="both"/>
        <w:rPr>
          <w:rFonts w:ascii="Times New Roman" w:hAnsi="Times New Roman"/>
          <w:color w:val="000000"/>
          <w:sz w:val="15"/>
        </w:rPr>
      </w:pPr>
      <w:r>
        <w:rPr>
          <w:rFonts w:ascii="Times New Roman" w:hAnsi="Times New Roman"/>
          <w:color w:val="000000"/>
          <w:sz w:val="15"/>
        </w:rPr>
        <w:t>None.</w:t>
      </w:r>
    </w:p>
    <w:p>
      <w:pPr>
        <w:pStyle w:val="TextBody"/>
        <w:pBdr>
          <w:bottom w:val="double" w:sz="4" w:space="1" w:color="000000"/>
        </w:pBdr>
        <w:bidi w:val="0"/>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678" w:type="dxa"/>
        <w:jc w:val="left"/>
        <w:tblInd w:w="0" w:type="dxa"/>
        <w:tblLayout w:type="fixed"/>
        <w:tblCellMar>
          <w:top w:w="28" w:type="dxa"/>
          <w:left w:w="28" w:type="dxa"/>
          <w:bottom w:w="28" w:type="dxa"/>
          <w:right w:w="28" w:type="dxa"/>
        </w:tblCellMar>
      </w:tblPr>
      <w:tblGrid>
        <w:gridCol w:w="916"/>
        <w:gridCol w:w="8251"/>
        <w:gridCol w:w="511"/>
      </w:tblGrid>
      <w:tr>
        <w:trPr/>
        <w:tc>
          <w:tcPr>
            <w:tcW w:w="91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_1">
              <w:r>
                <w:rPr>
                  <w:rStyle w:val="InternetLink"/>
                  <w:rFonts w:ascii="Times New Roman" w:hAnsi="Times New Roman"/>
                  <w:color w:val="0000FF"/>
                  <w:sz w:val="20"/>
                  <w:u w:val="single"/>
                </w:rPr>
                <w:t>Directors, Executive Officers and Corporate Governance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_1">
              <w:r>
                <w:rPr>
                  <w:rStyle w:val="InternetLink"/>
                  <w:rFonts w:ascii="Times New Roman" w:hAnsi="Times New Roman"/>
                  <w:color w:val="0000FF"/>
                  <w:sz w:val="20"/>
                  <w:u w:val="single"/>
                </w:rPr>
                <w:t>Executive Compensation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1">
              <w:r>
                <w:rPr>
                  <w:rStyle w:val="InternetLink"/>
                  <w:rFonts w:ascii="Times New Roman" w:hAnsi="Times New Roman"/>
                  <w:color w:val="0000FF"/>
                  <w:sz w:val="20"/>
                  <w:u w:val="single"/>
                </w:rPr>
                <w:t>Security Ownership of Certain Beneficial Owners and Management and Related Stockholder Matters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1">
              <w:r>
                <w:rPr>
                  <w:rStyle w:val="InternetLink"/>
                  <w:rFonts w:ascii="Times New Roman" w:hAnsi="Times New Roman"/>
                  <w:color w:val="0000FF"/>
                  <w:sz w:val="20"/>
                  <w:u w:val="single"/>
                </w:rPr>
                <w:t>Certain Relationships and Related Transactions, and Director Independence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1">
              <w:r>
                <w:rPr>
                  <w:rStyle w:val="InternetLink"/>
                  <w:rFonts w:ascii="Times New Roman" w:hAnsi="Times New Roman"/>
                  <w:color w:val="0000FF"/>
                  <w:sz w:val="20"/>
                  <w:u w:val="single"/>
                </w:rPr>
                <w:t>Principal Accounting Fees and Services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2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_exhibit_index">
              <w:r>
                <w:rPr>
                  <w:rStyle w:val="InternetLink"/>
                  <w:rFonts w:ascii="Times New Roman" w:hAnsi="Times New Roman"/>
                  <w:color w:val="0000FF"/>
                  <w:sz w:val="20"/>
                  <w:u w:val="single"/>
                </w:rPr>
                <w:t>Exhibits, Financial Statement Schedules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Amendment No. 1 on Form 10-K/A (this “Amendment”) amends the Annual Report on Form 10-K of CalciMedica, Inc. (the “Company,” “CalciMedica,” “we,” “our,” or “us”) for the fiscal year ended December 31, 2025, originally filed with the Securities and Exchange Commission (the “SEC”) on March 3, 2026 (the “Original Filing”). We are filing this Amendment to amend Part III of the Original Filing to include the information required by and not included in Part III of the Original Filing. In connection with the filing of this Amendment and pursuant to the rules of the SEC, we are including with this Amendment new certifications by our principal executive and principal financial officers. Accordingly, Item 15 of Part IV has also been amended to reflect the filing of these new certifications.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 other than as expressly indicated in this Amendment.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statements in this Amendment that are not historical are forward-looking statements within the meaning of Section 21E of the Securities Exchange Act of 1934, as amended (the “Exchange Act”). These forward-looking statements can generally be identified as such because the context of the statement will include words such as “may,” “will,” “intend,” “plans,” “believes,” “anticipates,” “expects,” “estimates,” “predicts,” “potential,” “continue,” “opportunity,” “goals,” or “should,” the negative of these words or words of similar import. Similarly, statements that describe our future plans, strategies, intentions, expectations, objectives, goals or prospects are also forward-looking statements. These forward-looking statements are or will be, as applicable, based largely on our expectations and projections about future events and future trends affecting our business, and so are or will be, as applicable, subject to risks and uncertainties including but not limited to the risk factors discussed in the Original Filing, that could cause actual results to differ materially from those anticipated in the forward-looking statements. We caution investors that there can be no assurance that actual results or business conditions will not differ materially from those projected or suggested in such forward-looking statements. Our views and the events, conditions and circumstances on which these future forward-looking statements are based, may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 w:name="item_10_directors_executive_officers_1"/>
      <w:bookmarkEnd w:id="2"/>
      <w:r>
        <w:rPr>
          <w:rFonts w:ascii="Times New Roman" w:hAnsi="Times New Roman"/>
          <w:b/>
          <w:color w:val="000000"/>
          <w:sz w:val="20"/>
        </w:rPr>
        <w:t>Item 10. Directors, Executive Officers and Corporate Governance.</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(“Board of Directors” or “Board”) currently consists of seven directors. Class I directors have a term expiring in 2027, Class II directors have a term expiring in 2028 and Class III directors have a term expiring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and biographies below include information, as of the date of this Amendment, regarding the specific and particular experience, qualifications, attributes or skills of each director.</w:t>
      </w:r>
    </w:p>
    <w:p>
      <w:pPr>
        <w:pStyle w:val="TextBody"/>
        <w:bidi w:val="0"/>
        <w:jc w:val="both"/>
        <w:rPr/>
      </w:pPr>
      <w:r>
        <w:rPr/>
        <w:t> </w:t>
      </w:r>
    </w:p>
    <w:tbl>
      <w:tblPr>
        <w:tblW w:w="3790" w:type="dxa"/>
        <w:jc w:val="left"/>
        <w:tblInd w:w="0" w:type="dxa"/>
        <w:tblLayout w:type="fixed"/>
        <w:tblCellMar>
          <w:top w:w="28" w:type="dxa"/>
          <w:left w:w="28" w:type="dxa"/>
          <w:bottom w:w="28" w:type="dxa"/>
          <w:right w:w="28" w:type="dxa"/>
        </w:tblCellMar>
      </w:tblPr>
      <w:tblGrid>
        <w:gridCol w:w="2296"/>
        <w:gridCol w:w="146"/>
        <w:gridCol w:w="391"/>
        <w:gridCol w:w="146"/>
        <w:gridCol w:w="8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Alan Glicklich, M.D.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I</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Fred Middleton</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I</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Rachel Leheny,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II</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Roberts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II</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 Guerard, Pharm.D.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II</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Allan Shaw</w:t>
            </w:r>
            <w:r>
              <w:rPr>
                <w:rFonts w:ascii="Times New Roman" w:hAnsi="Times New Roman"/>
                <w:color w:val="000000"/>
                <w:sz w:val="13"/>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III</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N. Wilson</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III</w:t>
            </w:r>
          </w:p>
        </w:tc>
      </w:tr>
    </w:tbl>
    <w:p>
      <w:pPr>
        <w:pStyle w:val="TextBody"/>
        <w:pBdr>
          <w:bottom w:val="single" w:sz="8" w:space="1" w:color="000000"/>
        </w:pBdr>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Member of our Audit Committee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Member of our Compensation Committee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Member of our Nominating and Corporate Governance Committee</w:t>
      </w:r>
    </w:p>
    <w:p>
      <w:pPr>
        <w:pStyle w:val="TextBody"/>
        <w:bidi w:val="0"/>
        <w:spacing w:before="240" w:after="283"/>
        <w:jc w:val="both"/>
        <w:rPr>
          <w:rFonts w:ascii="Times New Roman" w:hAnsi="Times New Roman"/>
          <w:sz w:val="20"/>
        </w:rPr>
      </w:pPr>
      <w:r>
        <w:rPr>
          <w:rFonts w:ascii="Times New Roman" w:hAnsi="Times New Roman"/>
          <w:i/>
          <w:color w:val="000000"/>
          <w:sz w:val="20"/>
        </w:rPr>
        <w:t>Alan Glicklich, M.D.</w:t>
      </w:r>
      <w:r>
        <w:rPr>
          <w:rFonts w:ascii="Times New Roman" w:hAnsi="Times New Roman"/>
          <w:color w:val="000000"/>
          <w:sz w:val="20"/>
        </w:rPr>
        <w:t xml:space="preserve"> has served as a member of our Board of Directors since January 2025. Dr. Glicklich has served as the Chief Medical Officer of Lonestar Medicines since February 2026. From July 2023 to October 2025, Dr. Glicklich served as the Chief Medical Officer of Nuvig Therapeutics, Inc., a clinical-stage biotechnology company advancing a pipeline of immune therapeutics for chronic inflammatory and autoimmune diseases, and, prior to that, he served as an independent clinical consultant to Nuvig Therapeutics, Inc. from May 2022 to July 2023. He served as Chief Medical Officer of Chinook Therapeutics, Inc. (“Chinook”) from May 2020 to March 2022 where he focused on biologics and small molecules for rare, chronic kidney diseases. At Chinook, he built the clinical development, clinical operations, medical affairs, biometrics, regulatory, and pharmacovigilance teams, and designed and operationalized a successful Phase 3 registrational study for atrasentan in IgA nephropathy and multiple earlier phase studies across rare chronic kidney disease indications. Prior to Chinook, Dr. Glicklich served as Chief Medical Officer at Bird Rock Bio, Inc. from June 2015 to April 2020, focusing on monoclonal antibody development for inflammatory and fibrotic diseases. Prior to Bird Rock, Inc., Dr. Glicklich was Vice President of Clinical Development at Arena Pharmaceuticals, Inc. where he designed and operationalized the Phase 2 ralinepeg program in pulmonary artery hypertension and the etrasimod Phase 2 program in ulcerative colitis. Earlier in his career Dr. Glicklich held positions at BMS, Sanofi-Aventis, and Regeneron. Dr. Glicklich holds a B.A. in biology from the University of Chicago, an M.D. from the University of Wisconsin, and an MBA from the Emory University-Goizueta School of Business. The Board of Directors believes that Dr. Glicklich’s expertise and extensive experience in the biotechnology industry, including his leadership positions at companies advancing product candidates for chronic inflammatory, autoimmune and chronic kidney diseases, qualifies him to serve on the Board of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Frederic Guerard, Pharm.D. </w:t>
      </w:r>
      <w:r>
        <w:rPr>
          <w:rFonts w:ascii="Times New Roman" w:hAnsi="Times New Roman"/>
          <w:color w:val="000000"/>
          <w:sz w:val="20"/>
        </w:rPr>
        <w:t>has served as a member of the Board of Directors since March 2023. Prior to that, he served as the President, Chief Executive Officer and member of the board of directors of Graybug Vision, Inc. from February 2019 to March 2023. Dr. Guerard has served as the President, Chief Executive Officer and member of the board of directors of Qlaris Bio, Inc. since March 2026. From October 2023 to September 2025, he served as the Chief Executive Officer and a director of Opthea Limited. From 1999 to February 2019, Dr. Guerard held key leadership roles at Novartis AG, a multinational pharmaceutical company, including Worldwide Business Franchise Head of Ophthalmology from April 2016 to February 2019, Global Franchise Head of Pharmaceuticals at Alcon Laboratories, a Novartis company, from May 2015 to April 2016, Managing Director of the United Kingdom and Ireland from July 2012 to April 2015, and Country President and Managing Director of Australia and New Zealand from April 2009 to July 2012, among others. He has served on the boards of directors at Lenz Therapeutics since September 2021 where he serves as a member of the compensation committee of the board of directors and the audit committee of the board of directors, Spiral Therapeutics since April 2023 and Unither Pharmaceuticals since July 2023. Dr. Guerard holds a Pharm.D. and a Master of Biological and Medical Sciences from the University of Rouen, France and a Master of Marketing from HEC Paris. The Board of Directors believes that Dr. Guerard is qualified to serve on the Board of Directors because of his expertise and extensive experience serving in leadership positions at biotechnology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A. Rachel Leheny, Ph.D.</w:t>
      </w:r>
      <w:r>
        <w:rPr>
          <w:rFonts w:ascii="Times New Roman" w:hAnsi="Times New Roman"/>
          <w:color w:val="000000"/>
          <w:sz w:val="20"/>
        </w:rPr>
        <w:t xml:space="preserve"> has served as our Chief Executive Officer and a member of the Board of Directors since March 2023. Prior to that, she served as CalciMedica, Inc.’s Chief Executive Officer prior to its merger with Graybug Vision, Inc. in March 2023 (such entity prior to the merger, “Private CalciMedica”) and a member of its board of directors from September 2019 to March 2023. Dr. Leheny has been a founding managing director of Valence Life Sciences since 2012. Dr. Leheny previously served on the board of directors of Dalcor Pharmaceuticals from June 2020 to January 2024 and previously served on the boards of directors of Anthera Pharmaceuticals, Inc. and Corthera, Inc. Additionally, from June 2006 to March 2014, Dr. Leheny served as a founding managing director of Caxton Advantage Venture Partners. From April 2000 to June 2002, she was head of the biotechnology research team at Lehman Brothers. From April 1998 to April 2000, Dr. Leheny headed the biotechnology research team at UBS Warburg and, before that, from April 1993 to April 1998, she worked at Hambrecht &amp; Quist, as managing director and senior biotechnology analyst. In 2007, Dr. Leheny became a founding board member of the Clearity Foundation and served as interim chief operating officer of Clearity from March 2015 to February 2017. Dr. Leheny holds an A.B. in Chemistry from Harvard University and a Ph.D. in Chemistry from Columbia University. She did post-doctoral work at the University of California at Berkeley, where she was a National Institutes of Health fellow and lecturer. The Board of Directors believes that Dr. Leheny’s extensive experience in the life sciences industry as a scientist, a research analyst at several investment banks, and as a venture capital investor, qualify her to serve on the Board of Directors. </w:t>
      </w:r>
    </w:p>
    <w:p>
      <w:pPr>
        <w:pStyle w:val="TextBody"/>
        <w:bidi w:val="0"/>
        <w:spacing w:before="240" w:after="283"/>
        <w:jc w:val="both"/>
        <w:rPr>
          <w:rFonts w:ascii="Times New Roman" w:hAnsi="Times New Roman"/>
          <w:sz w:val="20"/>
        </w:rPr>
      </w:pPr>
      <w:r>
        <w:rPr>
          <w:rFonts w:ascii="Times New Roman" w:hAnsi="Times New Roman"/>
          <w:i/>
          <w:color w:val="000000"/>
          <w:sz w:val="20"/>
        </w:rPr>
        <w:t>Fred Middleton</w:t>
      </w:r>
      <w:r>
        <w:rPr>
          <w:rFonts w:ascii="Times New Roman" w:hAnsi="Times New Roman"/>
          <w:color w:val="000000"/>
          <w:sz w:val="20"/>
        </w:rPr>
        <w:t xml:space="preserve"> has served as a member of the Board of Directors since the closing of the Merger in March 2023. Prior to that, he served on Private CalciMedica’s board of directors from May 2020 to March 2023. Since 1987, Mr. Middleton has served as a Managing Director of Sanderling Ventures (“Sanderling”), where he has worked for over 30 years as an investor, management team member and board member in over 20 new biomedical ventures built in Sanderling’s venture investment portfolios. Mr. Middleton has served as a board member of Chimerix, Inc., a publicly traded company acquired by Jazz Pharmaceuticals, from June 2019 to April 2025. He also serves on the boards of directors of Asteres Inc. and Theravida, Inc., both of which are privately held companies, and served on the board of directors of Viacyte, Inc., which was recently acquired by Vertex Pharmaceuticals. He served as chief financial officer and a member of the board of directors of Regeneron Pharmaceuticals, Inc. from 1991 through 2001. Earlier in his career, from 1978 through 1984, Mr. Middleton served as the third original member of the Genentech management team as its chief financial officer. Mr. Middleton holds a B.S. in Chemistry from the Massachusetts Institute of Technology and an M.B.A. from Harvard Business School. The Board of Directors believes that Mr. Middleton’s expertise and extensive experience in the pharmaceutical industry qualifies him to serve on the Board of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Eric W. Roberts </w:t>
      </w:r>
      <w:r>
        <w:rPr>
          <w:rFonts w:ascii="Times New Roman" w:hAnsi="Times New Roman"/>
          <w:color w:val="000000"/>
          <w:sz w:val="20"/>
        </w:rPr>
        <w:t>has served as our Chief Business Officer and member of the Board of Directors since March 2023. Prior to that, he served as Private CalciMedica’s Chief Business Officer and a member of its board of directors and its vice chairman from May 2020 to March 2023. Mr. Roberts has been a founding managing director of Valence Life Sciences since 2012. Mr. Roberts is also a founding member of Valence Investments SPV IV, Valence Investments SPV V and Valence Investments SPV VI. Additionally, from June 2006 to December 2019, Mr. Roberts served as a founding managing director of Caxton Advantage Venture Partners. From June 2015 to October 2019, Mr. Roberts served on the board of directors of VIVUS, Inc., a former publicly traded biopharmaceutical company. Mr. Roberts previously served as a member of the board of directors of Invuity, Inc. from June 2012 until its sale to Stryker Corporation in October 2018 and as a member of the board of directors of Gemin X Pharmaceuticals, Inc. from July 2008 until its sale to Cephalon, Inc. (now Teva Pharmaceutical Industries Ltd.) in March 2012. From 1986 to 2004, Mr. Roberts served in a variety of roles as an investment banker, including as co-head of the healthcare investment banking group at Lehman Brothers from April 2000 to January 2004, managing director and partner at Dillon, Read &amp; Co. Inc. from April 1989 to April 2000 and a member of Citicorp’s mergers and venture capital groups from June 1986 to April 1989. Mr. Roberts holds a B.S. in Economics from The Wharton School of the University of Pennsylvania. The Board of Directors believes that Mr. Roberts’s extensive experience in investment banking at several investment banks and experience as a venture capital investor as well as experience on a public and private company boards qualifies him to serve on the Board of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Allan Shaw </w:t>
      </w:r>
      <w:r>
        <w:rPr>
          <w:rFonts w:ascii="Times New Roman" w:hAnsi="Times New Roman"/>
          <w:color w:val="000000"/>
          <w:sz w:val="20"/>
        </w:rPr>
        <w:t xml:space="preserve">has served as a member of the Board of Directors since March 2023. Prior to that, he served on Private CalciMedica’s board of directors from October 2021 to March 2023. Since September 2017, Mr. Shaw has served as a special advisor and consulting chief financial officer to biopharmaceutical companies. Mr. Shaw previously served as the chief financial officer of Portage Biotech Inc., a publicly traded biotechnology company, from May 2020 to September 2024. He has also served on the board of directors of Evecxia Therapeutics, Inc. since October 2023. From January 2016 to February 2017, Mr. Shaw served as chief financial officer and treasurer of Syndax Pharmaceuticals, Inc., a publicly traded clinical stage biopharmaceutical company. Mr. Shaw also previously served as chief financial officer of various companies including NewLead Holdings Ltd. from October 2009 to July 2011, Serono S.A. from November 2002 to May 2004, and Viatel, Inc. from November 1994 to June 2002. Mr. Shaw previously served as managing director of Alvarez &amp; Marsal LLC from December 2011 to March 2015 and as founder and senior managing director at Shaw Strategic Capital LLC from 2005 to 2009. Mr. Shaw served as a member of the board of directors of Blue Water Vaccines, Inc. from January 2020 to August 2022. From September 2015 to October 2019, he was a member of the board of directors of VIVUS, Inc., a former publicly traded biopharmaceutical company, and, from October 2013 to June 2016, he was a member of the board of directors of Akari Therapeutics, Plc. (formerly Celsus Therapeutics, plc), a publicly traded biopharmaceutical company. Mr. Shaw was also a director of various other private companies. Mr. Shaw holds a B.S. in Applied Science and Accounting from the State University of New York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(Oswego College) and is a certified public accountant in the State of New York. The Board of Directors believes that Mr. Shaw’s extensive leadership experience and diverse industry background qualifies him to serve on the Board of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Robert N. Wilson</w:t>
      </w:r>
      <w:r>
        <w:rPr>
          <w:rFonts w:ascii="Times New Roman" w:hAnsi="Times New Roman"/>
          <w:color w:val="000000"/>
          <w:sz w:val="20"/>
        </w:rPr>
        <w:t xml:space="preserve"> has served as a member of the Board of Directors since March 2023. Prior to that, he served on Private CalciMedica’s board of directors from November 2020 to March 2023. Mr. Wilson served as chairman of the board of directors of Mevion Medical Systems, Inc. from 2005 to 2016. Mr. Wilson was also a member of the board of directors of Hess Corporation from 1991 to 2015, and a member of the board of directors of Charles Schwab Corporation from 2003 to 2020, as well as a director of other private companies. Mr. Wilson was chairman of Caxton Health Holdings from 2004 to 2007. He was also vice chairman of the board of directors of Johnson &amp; Johnson from 1989 until 2003. Mr. Wilson holds a B.A. from Georgetown College and an Executive Management degree from Columbia University. The Board of Directors believes that Mr. Wilson’s knowledge and extensive experience in the pharmaceutical industry, his managerial, marketing, financial and international experience, and his significant experience as a director for other publicly traded companies qualify him to serve on the Board of Directors.</w:t>
      </w:r>
    </w:p>
    <w:p>
      <w:pPr>
        <w:pStyle w:val="Heading2"/>
        <w:bidi w:val="0"/>
        <w:spacing w:before="240" w:after="283"/>
        <w:jc w:val="both"/>
        <w:rPr>
          <w:rFonts w:ascii="Times New Roman" w:hAnsi="Times New Roman"/>
          <w:color w:val="000000"/>
          <w:sz w:val="20"/>
        </w:rPr>
      </w:pPr>
      <w:bookmarkStart w:id="3" w:name="executive_officers"/>
      <w:bookmarkEnd w:id="3"/>
      <w:r>
        <w:rPr>
          <w:rFonts w:ascii="Times New Roman" w:hAnsi="Times New Roman"/>
          <w:color w:val="000000"/>
          <w:sz w:val="20"/>
        </w:rPr>
        <w:t>Executive Officers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and biographies below sets forth information, as of the date of this Amendment, about our current executive officers, their ages and the positions held by each such person with the Company:</w:t>
      </w:r>
    </w:p>
    <w:p>
      <w:pPr>
        <w:pStyle w:val="TextBody"/>
        <w:bidi w:val="0"/>
        <w:jc w:val="left"/>
        <w:rPr/>
      </w:pPr>
      <w:r>
        <w:rPr/>
        <w:t> </w:t>
      </w:r>
    </w:p>
    <w:tbl>
      <w:tblPr>
        <w:tblW w:w="7232" w:type="dxa"/>
        <w:jc w:val="left"/>
        <w:tblInd w:w="0" w:type="dxa"/>
        <w:tblLayout w:type="fixed"/>
        <w:tblCellMar>
          <w:top w:w="28" w:type="dxa"/>
          <w:left w:w="28" w:type="dxa"/>
          <w:bottom w:w="28" w:type="dxa"/>
          <w:right w:w="28" w:type="dxa"/>
        </w:tblCellMar>
      </w:tblPr>
      <w:tblGrid>
        <w:gridCol w:w="2566"/>
        <w:gridCol w:w="146"/>
        <w:gridCol w:w="146"/>
        <w:gridCol w:w="316"/>
        <w:gridCol w:w="146"/>
        <w:gridCol w:w="146"/>
        <w:gridCol w:w="376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Rachel Leheny,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Class II Director</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Dunn,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Operating Officer</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Bardin,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Sudarshan Hebbar,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Medical Officer</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 Roberts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Officer and Class II Director</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A. Stauderman,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Dr. Leheny’s</w:t>
      </w:r>
      <w:r>
        <w:rPr>
          <w:rFonts w:ascii="Times New Roman" w:hAnsi="Times New Roman"/>
          <w:color w:val="000000"/>
          <w:sz w:val="20"/>
        </w:rPr>
        <w:t xml:space="preserve"> biographical information is set forth above.</w:t>
      </w:r>
    </w:p>
    <w:p>
      <w:pPr>
        <w:pStyle w:val="TextBody"/>
        <w:bidi w:val="0"/>
        <w:spacing w:before="240" w:after="283"/>
        <w:jc w:val="both"/>
        <w:rPr>
          <w:rFonts w:ascii="Times New Roman" w:hAnsi="Times New Roman"/>
          <w:sz w:val="20"/>
        </w:rPr>
      </w:pPr>
      <w:r>
        <w:rPr>
          <w:rFonts w:ascii="Times New Roman" w:hAnsi="Times New Roman"/>
          <w:i/>
          <w:color w:val="000000"/>
          <w:sz w:val="20"/>
        </w:rPr>
        <w:t>Stephen Bardin, MBA</w:t>
      </w:r>
      <w:r>
        <w:rPr>
          <w:rFonts w:ascii="Times New Roman" w:hAnsi="Times New Roman"/>
          <w:color w:val="000000"/>
          <w:sz w:val="20"/>
        </w:rPr>
        <w:t>, has served as our Chief Financial Officer since November 2024 and served as a consultant to the Company from April 2024 to November 2024. Prior to that he served as the Chief Financial Officer of ATAI Life Sciences N.V. (Nasdaq: ATAI) (“Atai”), a clinical-stage biopharmaceutical company, from August 2022 to February 2024, and provided certain transition services to Atai through March 2024. He also served as Atai’s Deputy Chief Financial Officer and Chief Financial Officer Designate from June 27, 2022 to August 15, 2022. Prior to joining Atai, Mr. Bardin served in various capacities at BridgeBio Pharma, Inc. (“BridgeBio”), a commercial-stage biopharmaceutical company, most recently as its Senior Vice President, Finance and Operations, from January 2022 to June 2022, and previously as Vice President, Finance and Operations, from July 2020 to December 2021, and as Senior Director, Finance and Operations, from October 2019 to June 2020. Prior to that, Mr. Bardin served in roles of increasing responsibility at Myovant Sciences Ltd., a biopharmaceutical company, most recently as Director, Corporate Development from January 2019 to October 2019, and as Associate Director, Corporate Development from July 2017 to December 2018. Prior to that, Mr. Bardin served as a Consultant at The Boston Consulting Group from August 2011 to May 2014 and September 2016 to July 2017. Mr. Bardin received his Master of Business Administration from the Stanford Graduate School of Business and his Bachelor of Science in Engineering in biomedical engineering from Duke University.</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Michael J. Dunn, MBA </w:t>
      </w:r>
      <w:r>
        <w:rPr>
          <w:rFonts w:ascii="Times New Roman" w:hAnsi="Times New Roman"/>
          <w:color w:val="000000"/>
          <w:sz w:val="20"/>
        </w:rPr>
        <w:t>has served as our President and Chief Operating Officer since March 2023. Prior to that he served as the President and Chief Operating Officer of Private CalciMedica from 2014 to March 2023, and as its Senior Vice President, Corporate Development from 2013 to 2014. Mr. Dunn also served as a member of Private CalciMedica’s board of directors from 2014 to May 2020. Mr. Dunn serves on the board of directors of Arisan Therapeutics and previously served on the board of directors of Aegea Biotechnologies from 2012 to 2017. From 2010 to 2013, Mr. Dunn was senior vice president, corporate development at Biocept, Inc. Prior to that, he served as vice president and chief business officer of Monogram Biosciences, Inc., which was acquired by Laboratory Corporation of America Holdings (d/b/a LabCorp) in 2009. From April 2003 to December 2004, Mr. Dunn was chief business officer for ACLARA BioSciences, Inc., through its merger with ViroLogic, Inc.; the combined entity subsequently changed its name to Monogram Biosciences, Inc. From March 2002 to April 2003, Mr. Dunn served as executive vice president of business development for ActivX Biosciences, Inc., a biotechnology company, and helped engineer a partnership with Kyorin Pharmaceuticals, Co. Ltd. of Japan, which acquired ActivX Biosciences, Inc. the following year. From July 1998 to March 2002, Mr. Dunn was vice president of business development for Aurora Biosciences Corporation, a biotechnology tools company, through its acquisition by Vertex Pharmaceuticals. From 1995 to 1998, Mr. Dunn was vice president of business development for SIBIA Neurosciences, Inc., a publicly traded company, and, from 1984 to 1994, was director of business development at the predecessor company, SIBIA, Inc. Mr. Dunn holds an M.B.A. from the University of San Diego and a bachelor’s degree in Biology from the University of Chicago.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Sudarshan Hebbar, M.D. </w:t>
      </w:r>
      <w:r>
        <w:rPr>
          <w:rFonts w:ascii="Times New Roman" w:hAnsi="Times New Roman"/>
          <w:color w:val="000000"/>
          <w:sz w:val="20"/>
        </w:rPr>
        <w:t>has served as our Chief Medical Officer since March 2023. Prior to that, he served in various roles at Private CalciMedica including as its Chief Medical Officer from April 2017 to March 2023, its Senior Vice President of Clinical Development, from November 2015 to April 2017, and as a consultant from June 2014 to November 2015. From January 2015 to October 2015, Dr. Hebbar was a consultant for Mallinckrodt Pharmaceuticals, where he served as the clinical development lead for a global multicenter Phase 4 trial. From July 2013 to June 2014, he was the vice president of nephrology at Thrasos Innovation. From July 2013 to October 2013, Dr. Hebbar served as medical vice president and a member of the U.S. board of directors at Oncimmune Holdings plc, an immunodiagnostics company. Before joining Oncimmune, Dr. Hebbar served as a medical director at Reata Pharmaceuticals, Inc., a publicly traded biopharmaceutical company. Dr. Hebbar began his industry career at Abbott Laboratories, where he served as a senior medical director. Prior to joining Abbott Laboratories, Dr. Hebbar was a medical director at Dialysis Clinics Incorporated and a partner at Kidney Associates of Kansas City. Dr. Hebbar holds a B.A. in Natural Sciences from The Johns Hopkins University and an M.D. from Tulane University School of Medicine. He completed a residency in Internal Medicine and a fellowship in Critical Care Medicine, both at Hennepin County Medical Center, a fellowship in Nephrology at the University of Chicago and a fellowship in Clinical Medical Ethics at The Maclean Center for Clinical Medical Ethics at the University of Chicago.</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Mr. Roberts’s </w:t>
      </w:r>
      <w:r>
        <w:rPr>
          <w:rFonts w:ascii="Times New Roman" w:hAnsi="Times New Roman"/>
          <w:color w:val="000000"/>
          <w:sz w:val="20"/>
        </w:rPr>
        <w:t>biographical information is set forth above.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Kenneth A. Stauderman, Ph.D. </w:t>
      </w:r>
      <w:r>
        <w:rPr>
          <w:rFonts w:ascii="Times New Roman" w:hAnsi="Times New Roman"/>
          <w:color w:val="000000"/>
          <w:sz w:val="20"/>
        </w:rPr>
        <w:t>has served as our Chief Scientific Officer since March 2023. Dr. Stauderman is one of Private CalciMedica’s co-founders and served as its Chief Scientific Officer from April 2017 to March 2023, and previously served as its Senior Vice President of Research and Development, from August 2014 to April 2017, and as its Vice President of Research, from April 2007 to August 2014. From 2000 to 2007, Dr. Stauderman was executive director of biology and lead discovery at TorreyPines Therapeutics (f/k/a Neurogenetics, Inc.). Prior to TorreyPines Therapeutics, Dr. Stauderman was director of molecular and cell biology at SIBIA Neurosciences, Inc. (which later became Merck Research Laboratories, San Diego) from 1994 to 2000, and senior scientist at Marion Merrell Dow Pharmaceuticals from 1986 to 1994. Dr. Stauderman holds a B.A. in Psychology from the University of Virginia and a Ph.D. in Pharmacology from the University of Texas Health Science Center at San Antonio.</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Family Relationships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family relationships among any of the Company’s directors and executive officers. Except as described above, there are no arrangements or understandings with another person under which the Company’s directors and executive officers were or are to be selected as a director or executive officer. Additionally, no director or executive officer of the Company is involved in legal proceedings which require disclosure under Item 401 of Regulation S-K.</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 xml:space="preserve">Corporate Governance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Committee is composed of Allan Shaw, Fred Middleton and Alan Glicklich. Mr. Shaw is the Chair of our Audit Committee. The composition of our Audit Committee meets the requirements for independence under the current SEC rules and regulations and Nasdaq Listing Rules. Each member of our Audit Committee is financially literate. In addition, our Board of Directors has determined that Mr. Shaw is an “audit committee financial expert” as defined in Item 407(d)(5)(ii) of Regulation S-K promulgated under the Securities Act. </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Code of Conduct and Ethics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adopted a code of conduct and ethics that applies to all of our employees, officers and directors, including our Chief Executive Officer, Chief Financial Officer and other executive and senior financial officers. We intend to disclose future amendments to certain provisions of our code of conduct and ethics, or waivers of these provisions, on our website or in public filings. The full text of our code of conduct and ethics is posted on the Investors and Media section of our website at ir.calcimedica.com. The information on our website is not incorporated by reference into our Annual Report.</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Insider Trading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the Original Filing. In addition, it is the Company’s intent to comply with applicable laws and regulations relating to insider trading.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Anti-hedging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an Insider Trading Policy that applies to all of our employees, officers and directors, including our Chief Executive Officer and other executive officers, which prohibits such individuals from engaging in hedging or monetization transactions involving (i) our stock, such as zero cost collars, forward sale contracts, or contributing our stock to exchange funds in a manner that could be interpreted as hedging, or (ii) options or other derivative securities on our stock, such as puts and calls, whether on an exchange or in any other market, unless limited solely to exercising a compensatory equity grant issued by us. In addition, no employee, officer or director may use or pledge our securities as collateral in a margin account or as collateral for a loan unless preapproved by our compliance officer.</w:t>
      </w:r>
    </w:p>
    <w:p>
      <w:pPr>
        <w:pStyle w:val="TextBody"/>
        <w:bidi w:val="0"/>
        <w:spacing w:before="240" w:after="283"/>
        <w:jc w:val="left"/>
        <w:rPr>
          <w:rFonts w:ascii="Times New Roman" w:hAnsi="Times New Roman"/>
          <w:b/>
          <w:color w:val="000000"/>
          <w:sz w:val="20"/>
        </w:rPr>
      </w:pPr>
      <w:bookmarkStart w:id="4" w:name="item_11_executive_compensation_1"/>
      <w:bookmarkEnd w:id="4"/>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sz w:val="20"/>
        </w:rPr>
      </w:pPr>
      <w:bookmarkStart w:id="5" w:name="executive_compensation"/>
      <w:bookmarkEnd w:id="5"/>
      <w:r>
        <w:rPr>
          <w:rFonts w:ascii="Times New Roman" w:hAnsi="Times New Roman"/>
          <w:b/>
          <w:color w:val="000000"/>
          <w:sz w:val="20"/>
        </w:rPr>
        <w:t>Executive</w:t>
      </w:r>
      <w:r>
        <w:rPr>
          <w:rFonts w:ascii="Times New Roman" w:hAnsi="Times New Roman"/>
          <w:color w:val="000000"/>
          <w:sz w:val="20"/>
        </w:rPr>
        <w:t xml:space="preserve"> </w:t>
      </w:r>
      <w:r>
        <w:rPr>
          <w:rFonts w:ascii="Times New Roman" w:hAnsi="Times New Roman"/>
          <w:b/>
          <w:color w:val="000000"/>
          <w:sz w:val="20"/>
        </w:rPr>
        <w:t>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and accompanying narrative disclosure set forth information about the compensation provided to our named executive officers during the years ended December 31, 2025 and 2024. These executive officers, who include the individual who served as our principal executive officer in 2025 and the two most highly compensated executive officers (other than our principal executive officer) who were serving as executive officers at the end of the fiscal year ended December 31, 2025, were: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Rachel Leheny, Ph.D., Chief Executive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Sudarshan Hebbar, M.D., Chief Medical Officer,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Eric W. Roberts, Vice Chairman and Chief Business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refer to these individuals as our “named executive officers.”</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Summary Compensation 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summary information regarding the total compensation for services rendered in all capacities that was earned by our named executive officers during the years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3"/>
        <w:gridCol w:w="146"/>
        <w:gridCol w:w="466"/>
        <w:gridCol w:w="146"/>
        <w:gridCol w:w="146"/>
        <w:gridCol w:w="691"/>
        <w:gridCol w:w="146"/>
        <w:gridCol w:w="146"/>
        <w:gridCol w:w="146"/>
        <w:gridCol w:w="691"/>
        <w:gridCol w:w="146"/>
        <w:gridCol w:w="146"/>
        <w:gridCol w:w="147"/>
        <w:gridCol w:w="698"/>
        <w:gridCol w:w="146"/>
        <w:gridCol w:w="146"/>
        <w:gridCol w:w="182"/>
        <w:gridCol w:w="871"/>
        <w:gridCol w:w="146"/>
        <w:gridCol w:w="146"/>
        <w:gridCol w:w="204"/>
        <w:gridCol w:w="849"/>
        <w:gridCol w:w="146"/>
        <w:gridCol w:w="232"/>
        <w:gridCol w:w="146"/>
        <w:gridCol w:w="146"/>
        <w:gridCol w:w="826"/>
        <w:gridCol w:w="195"/>
      </w:tblGrid>
      <w:tr>
        <w:trPr/>
        <w:tc>
          <w:tcPr>
            <w:tcW w:w="1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w:t>
              <w:br/>
              <w:t>Awards</w:t>
            </w:r>
            <w:r>
              <w:rPr>
                <w:rFonts w:ascii="Times New Roman" w:hAnsi="Times New Roman"/>
                <w:b/>
                <w:color w:val="000000"/>
                <w:sz w:val="9"/>
              </w:rPr>
              <w:t xml:space="preserve">(1) </w:t>
            </w: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w:t>
              <w:br/>
              <w:t>Incentive Plan</w:t>
              <w:br/>
              <w:t>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w:t>
              <w:br/>
              <w:t>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 Rachel Leheny,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895,410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1,657,842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Sudarshan Hebbar,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Medical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1,348,571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W. Roberts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703,558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Vice Chairman and Chief Business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1,295,263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 accordance with SEC rules, this column reflects the aggregate grant date fair value of the stock option awards granted in the applicable year. These amounts have been computed in accordance with FASB ASC Topic 718. Assumptions used in the calculation of these amounts are described in Note 7 to our audited financial statements in our Annual Report on Form 10-K for the year ended December 31, 2025. These amounts do not reflect the actual economic value that will be realized by our named executive officers upon the exercise of the stock options or the sale of the common stock underlying such 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amounts paid on behalf of Dr. Leheny for basic life insurance and accidental death and dismemberment insurance premiums.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amounts paid on behalf of Dr. Hebbar for basic life insurance and accidental death and dismemberment insurance premiums.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amounts paid on behalf of Mr. Roberts for basic life insurance and accidental death and dismemberment insurance premiums.</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Equity Incentive Plan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grant equity awards in the form of stock options to our named executive officers, which are generally subject to vesting based on each named executive officer’s continued service with us. Each of our named executive officers currently holds outstanding options to purchase shares of our common stock that were granted under our equity incentive plans, as set forth in the table below titled “2025 Outstanding Equity Awards at Fiscal Year-End 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2025, upon the recommendation of our Compensation Committee, our Board approved option grants to our named executive officers, which were determined based on peer data from our compensation consultant.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stock options are granted with an exercise price per share that is no less than the fair market value of our common stock on the date of grant of such award. Our stock option awards generally vest over a four-year period and may be subject to acceleration of vesting and exercisability under certain termination and change in control events, as described in more detail under the section titled “Potential Payments Upon Termination.” </w:t>
      </w:r>
    </w:p>
    <w:p>
      <w:pPr>
        <w:pStyle w:val="TextBody"/>
        <w:bidi w:val="0"/>
        <w:spacing w:before="240" w:after="283"/>
        <w:jc w:val="both"/>
        <w:rPr>
          <w:rFonts w:ascii="Times New Roman" w:hAnsi="Times New Roman"/>
          <w:sz w:val="20"/>
        </w:rPr>
      </w:pPr>
      <w:r>
        <w:rPr>
          <w:rFonts w:ascii="Times New Roman" w:hAnsi="Times New Roman"/>
          <w:b/>
          <w:i/>
          <w:color w:val="000000"/>
          <w:sz w:val="20"/>
        </w:rPr>
        <w:t>2025 Outstanding Equity Awards at Fiscal Year-End Table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for each of our named executive officers, information regarding outstanding stock options and restricted stock unit awards held as of December 31, 2025:</w:t>
      </w:r>
    </w:p>
    <w:p>
      <w:pPr>
        <w:pStyle w:val="TextBody"/>
        <w:bidi w:val="0"/>
        <w:jc w:val="left"/>
        <w:rPr/>
      </w:pPr>
      <w:r>
        <w:rPr/>
        <w:t> </w:t>
      </w:r>
    </w:p>
    <w:tbl>
      <w:tblPr>
        <w:tblW w:w="8026" w:type="dxa"/>
        <w:jc w:val="left"/>
        <w:tblInd w:w="0" w:type="dxa"/>
        <w:tblLayout w:type="fixed"/>
        <w:tblCellMar>
          <w:top w:w="28" w:type="dxa"/>
          <w:left w:w="28" w:type="dxa"/>
          <w:bottom w:w="28" w:type="dxa"/>
          <w:right w:w="28" w:type="dxa"/>
        </w:tblCellMar>
      </w:tblPr>
      <w:tblGrid>
        <w:gridCol w:w="1576"/>
        <w:gridCol w:w="146"/>
        <w:gridCol w:w="886"/>
        <w:gridCol w:w="146"/>
        <w:gridCol w:w="1021"/>
        <w:gridCol w:w="146"/>
        <w:gridCol w:w="183"/>
        <w:gridCol w:w="643"/>
        <w:gridCol w:w="146"/>
        <w:gridCol w:w="146"/>
        <w:gridCol w:w="188"/>
        <w:gridCol w:w="758"/>
        <w:gridCol w:w="146"/>
        <w:gridCol w:w="146"/>
        <w:gridCol w:w="154"/>
        <w:gridCol w:w="462"/>
        <w:gridCol w:w="146"/>
        <w:gridCol w:w="146"/>
        <w:gridCol w:w="84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Grant Date</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Vesting</w:t>
              <w:br/>
              <w:t>Commencement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Expiration</w:t>
              <w:br/>
              <w:t>Date</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 Rachel Leheny,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4/25/2019</w:t>
            </w: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04/24/2029</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1/24/2020</w:t>
            </w: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1/23/2030</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6/30/2020</w:t>
            </w: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6/29/2030</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4/28/2021</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4/28/2021</w:t>
            </w: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7/1/2021</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8/30/2032</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8/30/2032</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8/30/2032</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5/8/2023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3/28/2024</w:t>
            </w: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3/8/2034</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8/27/2024</w:t>
            </w: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8/26/2034</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4/23/2025</w:t>
            </w:r>
            <w:r>
              <w:rPr>
                <w:rFonts w:ascii="Times New Roman" w:hAnsi="Times New Roman"/>
                <w:color w:val="000000"/>
                <w:sz w:val="9"/>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4/23/2035</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4/23/2025</w:t>
            </w:r>
            <w:r>
              <w:rPr>
                <w:rFonts w:ascii="Times New Roman" w:hAnsi="Times New Roman"/>
                <w:color w:val="000000"/>
                <w:sz w:val="9"/>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4/23/2035</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6/24/2025</w:t>
            </w: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4/22/2035</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Sudarshan Hebbar,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2/11/2016</w:t>
            </w: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2/11/2026</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8/2/2018</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8/2/2028</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4/25/2019(</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4/25/2029</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1/24/2020</w:t>
            </w: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1/24/2030</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6/30/2020</w:t>
            </w:r>
            <w:r>
              <w:rPr>
                <w:rFonts w:ascii="Times New Roman" w:hAnsi="Times New Roman"/>
                <w:color w:val="000000"/>
                <w:sz w:val="9"/>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7/1/2030</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6/30/2020</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7/1/2030</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4/28/2021</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4/29/2031</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4/28/2021</w:t>
            </w: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4/29/2031</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7/1/2021</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7/2/2031</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8/2/2022</w:t>
            </w:r>
            <w:r>
              <w:rPr>
                <w:rFonts w:ascii="Times New Roman" w:hAnsi="Times New Roman"/>
                <w:color w:val="000000"/>
                <w:sz w:val="9"/>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8/2/2032</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8/31/2032</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8/31/2032</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8/31/2032</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3/20/2033</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3/20/2033</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3/20/2033</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5/08/2023</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5/8/2033</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3/28/2024</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3/29/2034</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8/27/2024</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8/28/2034</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8/27/2024</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4/23/2035</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4/23/2025</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4/22/2035</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6/24/2025</w:t>
            </w: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4/22/2035</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Eric W. Roberts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1/24/2020</w:t>
            </w:r>
            <w:r>
              <w:rPr>
                <w:rFonts w:ascii="Times New Roman" w:hAnsi="Times New Roman"/>
                <w:color w:val="000000"/>
                <w:sz w:val="9"/>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1/23/2030</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6/30/2020</w:t>
            </w: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6/29/2030</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4/28/2021</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4/28/2021</w:t>
            </w: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7/1/2021</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7/1/2021</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8/30/2032</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8/30/2032</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8/31/2022</w:t>
            </w: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8/30/2032</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3/20/2023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5/8/2023</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3/28/2024</w:t>
            </w:r>
            <w:r>
              <w:rPr>
                <w:rFonts w:ascii="Times New Roman" w:hAnsi="Times New Roman"/>
                <w:color w:val="000000"/>
                <w:sz w:val="9"/>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3/28/2034</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8/27/2024</w:t>
            </w:r>
            <w:r>
              <w:rPr>
                <w:rFonts w:ascii="Times New Roman" w:hAnsi="Times New Roman"/>
                <w:color w:val="000000"/>
                <w:sz w:val="9"/>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8/26/2034</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4/23/2025</w:t>
            </w:r>
            <w:r>
              <w:rPr>
                <w:rFonts w:ascii="Times New Roman" w:hAnsi="Times New Roman"/>
                <w:color w:val="000000"/>
                <w:sz w:val="9"/>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4/23/2035</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4/23/2025</w:t>
            </w:r>
            <w:r>
              <w:rPr>
                <w:rFonts w:ascii="Times New Roman" w:hAnsi="Times New Roman"/>
                <w:color w:val="000000"/>
                <w:sz w:val="9"/>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4/23/2035</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color w:val="000000"/>
                <w:sz w:val="14"/>
              </w:rPr>
              <w:t>6/24/2025</w:t>
            </w: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4/22/2035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All outstanding equity awards granted to Dr. Leheny, Mr. Roberts and Dr. Stauderman were granted under our 2006 Stock Plan for awards granted on or before March 20, 2023. All awards granted after March 20, 2023 were granted under our 2023 Equity Incentive Plan (the “2023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25% of the shares subject to the stock option vested on the vesting commencement date and the balance vested in a series of 36 successive monthly installments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This stock option vests at a rate of 1/48th of the shares of our common stock underlying the stock option on the vesting commencement date, and 1/48th of the shares of our common stock underlying the stock option monthly thereafter. The award is also subject to acceleration upon certain events as described in the section titled “—Potential Payments upon Termination.”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pPr>
      <w:r>
        <w:rPr>
          <w:rFonts w:ascii="Times New Roman" w:hAnsi="Times New Roman"/>
          <w:color w:val="000000"/>
          <w:sz w:val="16"/>
        </w:rPr>
        <w:t>This stock option vests at a rate of 1/48</w:t>
      </w:r>
      <w:r>
        <w:rPr>
          <w:rFonts w:ascii="Times New Roman" w:hAnsi="Times New Roman"/>
          <w:color w:val="000000"/>
          <w:sz w:val="11"/>
        </w:rPr>
        <w:t>th</w:t>
      </w:r>
      <w:r>
        <w:rPr>
          <w:color w:val="000000"/>
        </w:rPr>
        <w:t xml:space="preserve"> </w:t>
      </w:r>
      <w:r>
        <w:rPr>
          <w:rFonts w:ascii="Times New Roman" w:hAnsi="Times New Roman"/>
          <w:color w:val="000000"/>
          <w:sz w:val="16"/>
        </w:rPr>
        <w:t>of the shares of our common stock underlying the stock option on the vesting commencement date, and 1/48</w:t>
      </w:r>
      <w:r>
        <w:rPr>
          <w:rFonts w:ascii="Times New Roman" w:hAnsi="Times New Roman"/>
          <w:color w:val="000000"/>
          <w:sz w:val="11"/>
        </w:rPr>
        <w:t>th</w:t>
      </w:r>
      <w:r>
        <w:rPr>
          <w:color w:val="000000"/>
        </w:rPr>
        <w:t xml:space="preserve"> </w:t>
      </w:r>
      <w:r>
        <w:rPr>
          <w:rFonts w:ascii="Times New Roman" w:hAnsi="Times New Roman"/>
          <w:color w:val="000000"/>
          <w:sz w:val="16"/>
        </w:rPr>
        <w:t>of the shares of our common stock underlying the stock option vests monthly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100% of the shares subject to the stock option vested on the vesting commencement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This stock option vested in equal daily installments until fully vested on October 31,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25% of the shares subject to the stock option vested on the one year anniversary of the vesting commencement date and 1/48th of the shares of our common stock underlying the stock option vest monthly thereafter. The award is also subject to acceleration upon certain events as described in the section titled “—Potential Payments upon Termination.”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100% of the shares subject to the stock option vested upon the closing of the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25% of the shares subject to the stock option vested on the one year anniversary of the vesting commencement date and 1/48th of the shares of our common stock underlying the stock option vested monthly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This stock option vested at a rate of 1/12th of the shares of our common stock underlying the stock option on the vesting commencement date, and 1/12th of the shares of our common stock underlying the stock option monthly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This stock option vested in equal daily installments until fully vested on September 30,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One-fourth (1/4) of the shares subject to the stock option vest on the vesting commencement date; thereafter, the remaining shares shall vest in equal monthly installments over 36 months following the achievement of a pre-determined milestone. The milestone was achieved November 21, 2020. </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Option Exercises and Stock Vested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information regarding options exercised during 2025 for our Named Executive Officers. There were no stock awards held by our Named Executive Officers during 2025.</w:t>
      </w:r>
    </w:p>
    <w:p>
      <w:pPr>
        <w:pStyle w:val="TextBody"/>
        <w:bidi w:val="0"/>
        <w:jc w:val="both"/>
        <w:rPr/>
      </w:pPr>
      <w:r>
        <w:rPr/>
        <w:t> </w:t>
      </w:r>
    </w:p>
    <w:tbl>
      <w:tblPr>
        <w:tblW w:w="8400" w:type="dxa"/>
        <w:jc w:val="left"/>
        <w:tblInd w:w="0" w:type="dxa"/>
        <w:tblLayout w:type="fixed"/>
        <w:tblCellMar>
          <w:top w:w="28" w:type="dxa"/>
          <w:left w:w="28" w:type="dxa"/>
          <w:bottom w:w="28" w:type="dxa"/>
          <w:right w:w="28" w:type="dxa"/>
        </w:tblCellMar>
      </w:tblPr>
      <w:tblGrid>
        <w:gridCol w:w="2101"/>
        <w:gridCol w:w="146"/>
        <w:gridCol w:w="575"/>
        <w:gridCol w:w="2665"/>
        <w:gridCol w:w="146"/>
        <w:gridCol w:w="146"/>
        <w:gridCol w:w="431"/>
        <w:gridCol w:w="1999"/>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Acquired on 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Realized on Exercise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Rachel Leheny,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Sudarshan Hebbar,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 Roberts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16"/>
        </w:rPr>
      </w:pPr>
      <w:r>
        <w:rPr>
          <w:rFonts w:ascii="Times New Roman" w:hAnsi="Times New Roman"/>
          <w:color w:val="000000"/>
          <w:sz w:val="16"/>
        </w:rPr>
        <w:t>The value realized on exercise is based on the difference between the closing price of our common stock on the date of exercise and the applicable exercise price of those options, and does not represent actual amounts received by the Named Executive Officers as a result of the option exercises.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Employment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previously entered into offer letters with each of A. Rachel Leheny, Ph.D., dated as of May 20, 2020; Eric W. Roberts, dated as of May 20, 2020; and Sudarshan Hebbar, M.D., dated as of August 14, 2015. The offer letters generally provide for at-will employment and set forth the named executive officer’s initial base salary, eligibility for employee benefits and equity awards, and their compensation is reviewed periodically and subject to the discretion of our Board of Directors and Compensation Committee. Any potential payments and benefits due upon a termination of employment or in connection with a change in control of us are described below in “—Potential Payments upon Termination.”</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Potential Payments upon Termination</w:t>
      </w:r>
    </w:p>
    <w:p>
      <w:pPr>
        <w:pStyle w:val="TextBody"/>
        <w:bidi w:val="0"/>
        <w:spacing w:before="240" w:after="283"/>
        <w:jc w:val="both"/>
        <w:rPr>
          <w:rFonts w:ascii="Times New Roman" w:hAnsi="Times New Roman"/>
          <w:b/>
          <w:i/>
          <w:color w:val="000000"/>
          <w:sz w:val="20"/>
          <w:u w:val="single"/>
        </w:rPr>
      </w:pPr>
      <w:r>
        <w:rPr>
          <w:rFonts w:ascii="Times New Roman" w:hAnsi="Times New Roman"/>
          <w:b/>
          <w:i/>
          <w:color w:val="000000"/>
          <w:sz w:val="20"/>
          <w:u w:val="single"/>
        </w:rPr>
        <w:t>Outside of a Change in Control Severance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Dr. Leheny’s offer letter provides that if her employment is terminated by us without “cause” or Dr. Leheny resigns for “good reason” (each, as defined in Dr. Leheny’s offer letter), she will be entitled to receive (i) continued payment of her then-current base salary for 12 months, (ii) premiums for Dr. Leheny’s COBRA continuation health coverage for up to 12 months, and (iii) the acceleration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12 months of vesting of any outstanding but unvested stock options or other equity awards held by Dr. Leheny. Furthermore, upon termination of her services to us, Dr. Leheny shall have at least 12 months following her termination date to exercise her options. In addition, in the event of a change in control (as defined in our 2006 Stock Plan), all of the outstanding and unvested stock options held by Dr. Leheny at such time will become fully vested and immediately exercisable.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Roberts’ offer letter provides that if his employment is terminated by us without “cause” or Mr. Roberts resigns for “good reason” (each, as defined in Mr. Roberts’ offer letter), he will be entitled to receive (i) continued payment of his then-current base salary for 12 months, (ii) premiums for Mr. Roberts’ COBRA continuation health coverage for up to 12 months, and (iii) the acceleration of 12 months of vesting of any outstanding but unvested stock options or other equity awards held by Mr. Roberts. Furthermore, upon termination of his services to us, Mr. Roberts shall have at least 12 months following his termination date to exercise his options. In addition, in the event of a change in control (as defined in our 2006 Stock Plan), all of the outstanding and unvested stock options held by Mr. Roberts at such time will become fully vested and immediately exercisable.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 Hebbar’s offer letter, as amended, provides that if his employment is terminated by us without “cause” (other than as a result of death or disability) prior to a “change in control” (as defined in Dr. Hebbar’s offer letter), he will be entitled to receive (i) continued payment of his then-current base salary for nine months and (ii) reimbursement of premiums for Dr. Hebbar’s COBRA continuation health coverage for up to nine months. If such termination or resignation occurs following the consummation of a “change in control” (as defined in the offer letter) for reasons other than “cause” (other than as a result of death or disability), he will be entitled to receive acceleration of all of then outstanding and unvested equity awards, such that all outstanding and unvested stock options held by Dr. Hebbar will become fully vested and immediately exercisable.</w:t>
      </w:r>
    </w:p>
    <w:p>
      <w:pPr>
        <w:pStyle w:val="TextBody"/>
        <w:bidi w:val="0"/>
        <w:spacing w:before="240" w:after="283"/>
        <w:jc w:val="both"/>
        <w:rPr>
          <w:rFonts w:ascii="Times New Roman" w:hAnsi="Times New Roman"/>
          <w:b/>
          <w:i/>
          <w:color w:val="000000"/>
          <w:sz w:val="20"/>
          <w:u w:val="single"/>
        </w:rPr>
      </w:pPr>
      <w:r>
        <w:rPr>
          <w:rFonts w:ascii="Times New Roman" w:hAnsi="Times New Roman"/>
          <w:b/>
          <w:i/>
          <w:color w:val="000000"/>
          <w:sz w:val="20"/>
          <w:u w:val="single"/>
        </w:rPr>
        <w:t>Change in Control and Severance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named executive officers who are current officers of the Company participate in our Change in Control Severance Policy (as amended, the “Change in Control Severance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Change in Control Severance Policy, in the event that Dr. Leheny is terminated without “cause” (as defined in the Change in Control Severance Policy) or resigns for “good reason” (as defined in the Change in Control Severance Policy) on or within 12 months following a “change in control” of us (as defined in the Change in Control Severance Policy), Dr. Leheny will be entitled to receive a cash amount, payable in a lump sum, equal to (i) 18 months’ annual base salary and (ii) 1.5 times her target bonus for the fiscal year in which the termination occurs. Dr. Leheny will also be entitled to continued coverage under our group-healthcare plans for a period ending on the earlier of (x) 18 months following the termination date and (y) the date that Dr. Leheny and her covered dependents become eligible for coverage under another employer’s plans. In addition, each then-outstanding equity award that is granted on or after September 24, 2020 that vests subject to Dr. Leheny’s continued service will automatically become vested and exercisable in full pursuant to the terms of the Change in Control Severance Policy. Grant agreements for equity awards subject to performance-based vesting criteria may provide for alternative treatment upon a termination described above. Absent any such treatment in such grant agreement, the acceleration of equity awards subject to performance-based vesting criteria shall be deemed to have been met based on the achievement of such award at the greater of target or, if determinable, actual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Change in Control Severance Policy, in the event that Mr. Roberts or Dr. Hebbar is terminated without “cause” (as defined in the Change in Control Severance Policy) or resigns for “good reason” (as defined in the Change in Control Severance Policy) within 12 months following a “change in control” of us (as defined in the Change in Control Severance Policy), he will be entitled to receive a cash amount, payable in a lump sum, equal to (i) 15 months’ annual base salary and (ii) 1.25 times his target bonus for the fiscal year in which the termination occurs. He will also be entitled to continued coverage under our group-healthcare plans for a period ending on the earlier of (x) 15 months following the termination date and (y) the date that he and his covered dependents become eligible for coverage under another employer’s plans. In addition, each then-outstanding equity award that is granted on or after September 24, 2020 that vests subject to his continued service will automatically become vested and exercisable in full pursuant to the terms of the Change in Control Severance Policy. Grant agreements for equity awards subject to performance-based vesting criteria may provide for alternative treatment upon a termination described above. Absent any such treatment in such grant agreement, the acceleration of equity awards subject to performance-based vesting criteria shall be deemed to have been met based on the achievement of such award at the greater of target or, if determinable, actual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vesting of any outstanding equity award that is not assumed by a successor company following a change in control of us will automatically accelerate in full without regard to our named executive officers’ termination of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such severance payments and benefits are subject to each named executive officer’s execution of a general release of claims against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Clawback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our Compensation Committee adopted an incentive compensation recoupment policy (the “Clawback Policy”) in accordance with Rule 10D-1 of the Exchange Act and Nasdaq Rule 5608 that requires the Company to recover excess incentive compensation that was paid to an executive officer based in whole or in part on financial results that were subject to a restatement of the Company’s financial statements. The Clawback Policy specifies that following an accounting restatement, the Company must reasonably promptly recoup any compensation that is granted, earned or vested based wholly or in part upon the attainment of a financial reporting measure (“Incentive Compensation”) and which exceeds the amount that would have been received had such Incentive Compensation been determined based on the accounting restatement, unless the Compensation Committee determines that such recoupment would be impracticable. The Clawback Policy applies to all Incentive Compensation received during a three-year period preceding a restatement by a person (a) after beginning services as an executive officer, (b) who served as an executive officer at any time during the performance period for the applicable Incentive Compensation and (c) while the Company has securities listed on Nasdaq or another national securities exchange or association.</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Policies and Practices Related to the Grant of Certain Equity Awards Close in Time to the Release of Material Nonpublic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the Company grants stock options to its employees, including the named executive officers. Historically, the Company has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“Non-Employee Director Compensation” above. The Company does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Non-Employee Director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our Board of Directors adopted a non-employee director compensation policy (the “former non-employee director compensation policy”) that applied to all of our non-employee directors. This compensation policy provided that each such non-employee director would receive the following compensation for service on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annual cash retainer of $40,000;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additional annual cash retainer of $35,000 for services as the Chair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additional annual cash retainer of $7,500, $5,000 and $5,000 for service as a member of the Audit Committee, Compensation Committee and the Nominating and Corporate Governance Committee, respectively;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additional annual cash retainer of $15,000, $10,000 and $10,000 for service as Chair of the Audit Committee, Compensation Committee and the Nominating and Corporate Governance Committee, respectively (in lieu of the committee member retainer described above);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initial option grant to purchase 20,000 shares of common stock on the date of each non-employee director’s appointment to our Board of Directors, with the shares vesting in 36 equal monthly installments, subject to continued service as a director through each applicable vesting date;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annual option grant to purchase 10,000 shares of common stock on the date of each of our annual stockholder meetings for each continuing director, with the shares vesting in 12 equal monthly installments, provided that all shares shall be vested on the date of the next annual stockholders meeting, subject to continued service as a director through each applicable vesting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adopted an amended and restated non-employee director compensation policy (the “non-employee director compensation policy”), effective March 26, 2025, that applies to all of our non-employee directors. As amended, the non-employee director compensation policy will allow the retainer fees to be paid in a form other than cash if approved by the Board of Directors or the Compensation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annual retainer fees are payable to each non-employee director in equal quarterly installments, payable in arrears on the last day of each fiscal quarter in which the service occurred. If a non-employee director joins our Board of Directors or a committee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Board at a time other than effective as of the first day of a fiscal quarter, each annual retainer set forth above will be pro-rated based on days served in the applicable fiscal quarter, with the pro-rated amount paid on the last day of the first fiscal quarter in which the non-employee director provides the service and regular full quarterly payments thereafter. All annual cash fees are vested upon payment.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Members of our Board of Directors are also eligible for reimbursement for their expenses incurred in attending meetings of the Board of Directors or any committees thereof. Reimbursements for any non-employee director did not exceed the $10,000 threshold for the year ended December 31, 2025, and thus are not included in the table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compensation earned by or paid to our non-employee directors for services provided during the year ended December 31, 2025.</w:t>
      </w:r>
    </w:p>
    <w:p>
      <w:pPr>
        <w:pStyle w:val="TextBody"/>
        <w:bidi w:val="0"/>
        <w:jc w:val="both"/>
        <w:rPr/>
      </w:pPr>
      <w:r>
        <w:rPr/>
        <w:t> </w:t>
      </w:r>
    </w:p>
    <w:tbl>
      <w:tblPr>
        <w:tblW w:w="6191" w:type="dxa"/>
        <w:jc w:val="left"/>
        <w:tblInd w:w="0" w:type="dxa"/>
        <w:tblLayout w:type="fixed"/>
        <w:tblCellMar>
          <w:top w:w="28" w:type="dxa"/>
          <w:left w:w="28" w:type="dxa"/>
          <w:bottom w:w="28" w:type="dxa"/>
          <w:right w:w="28" w:type="dxa"/>
        </w:tblCellMar>
      </w:tblPr>
      <w:tblGrid>
        <w:gridCol w:w="2296"/>
        <w:gridCol w:w="146"/>
        <w:gridCol w:w="235"/>
        <w:gridCol w:w="755"/>
        <w:gridCol w:w="146"/>
        <w:gridCol w:w="146"/>
        <w:gridCol w:w="211"/>
        <w:gridCol w:w="781"/>
        <w:gridCol w:w="146"/>
        <w:gridCol w:w="146"/>
        <w:gridCol w:w="211"/>
        <w:gridCol w:w="78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 in</w:t>
              <w:br/>
              <w:t>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 Guerard, Pharm.D.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 Middleton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Allan Shaw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N. Wilson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Alan Glicklich, M.D.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Eric Bjerkholt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The amounts reported in this column represent the aggregate grant date fair value of the stock options granted to our directors during the year ended December 31, 2025 as computed in accordance with Financial Accounting Standards Board, Accounting Standards Codification Topic 718, Compensation—Stock Compensation (“FASB ASC Topic 718”). The assumptions used in calculating the aggregate grant date fair value of the stock options reported in this column are set forth in Note 7 to our financial statements included in our Annual Report on Form 10-K for the year ended December 31, 2025. These amounts do not reflect the actual economic value that will be realized by our directors upon the exercise of the stock options or the sale of the common stock underlying such stock options.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aggregate number of shares outstanding under all stock options held by our non-employee directors as of December 31, 2025 are set forth in the table below.</w:t>
      </w:r>
    </w:p>
    <w:p>
      <w:pPr>
        <w:pStyle w:val="TextBody"/>
        <w:bidi w:val="0"/>
        <w:jc w:val="both"/>
        <w:rPr/>
      </w:pPr>
      <w:r>
        <w:rPr/>
        <w:t> </w:t>
      </w:r>
    </w:p>
    <w:tbl>
      <w:tblPr>
        <w:tblW w:w="3560" w:type="dxa"/>
        <w:jc w:val="left"/>
        <w:tblInd w:w="0" w:type="dxa"/>
        <w:tblLayout w:type="fixed"/>
        <w:tblCellMar>
          <w:top w:w="28" w:type="dxa"/>
          <w:left w:w="28" w:type="dxa"/>
          <w:bottom w:w="28" w:type="dxa"/>
          <w:right w:w="28" w:type="dxa"/>
        </w:tblCellMar>
      </w:tblPr>
      <w:tblGrid>
        <w:gridCol w:w="2296"/>
        <w:gridCol w:w="146"/>
        <w:gridCol w:w="146"/>
        <w:gridCol w:w="78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 Guerard, Pharm.D.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 Middleton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Allan Shaw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Glicklich,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N. Wilson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16"/>
        </w:rPr>
      </w:pPr>
      <w:r>
        <w:rPr>
          <w:rFonts w:ascii="Times New Roman" w:hAnsi="Times New Roman"/>
          <w:color w:val="000000"/>
          <w:sz w:val="16"/>
        </w:rPr>
        <w:t>Mr. Bjerkholt resigned from our Board of Directors in January 2025 and any unvested options were cancelled on the date of his resignation. Dr. Glicklich was appointed to our Board of Directors in January 2025 to fill the vacancy created by Mr. Bjerkholt.</w:t>
      </w:r>
    </w:p>
    <w:p>
      <w:pPr>
        <w:pStyle w:val="TextBody"/>
        <w:bidi w:val="0"/>
        <w:spacing w:before="240" w:after="283"/>
        <w:jc w:val="left"/>
        <w:rPr>
          <w:rFonts w:ascii="Times New Roman" w:hAnsi="Times New Roman"/>
          <w:b/>
          <w:color w:val="000000"/>
          <w:sz w:val="20"/>
        </w:rPr>
      </w:pPr>
      <w:bookmarkStart w:id="6" w:name="item_12_security_ownership_1"/>
      <w:bookmarkEnd w:id="6"/>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information as of December 31, 2025, with respect to the shares of our common stock that may be issued under our existing equity compensation plans.</w:t>
      </w:r>
    </w:p>
    <w:p>
      <w:pPr>
        <w:pStyle w:val="TextBody"/>
        <w:bidi w:val="0"/>
        <w:jc w:val="left"/>
        <w:rPr/>
      </w:pPr>
      <w:r>
        <w:rPr/>
        <w:t> </w:t>
      </w:r>
    </w:p>
    <w:tbl>
      <w:tblPr>
        <w:tblW w:w="9517" w:type="dxa"/>
        <w:jc w:val="left"/>
        <w:tblInd w:w="0" w:type="dxa"/>
        <w:tblLayout w:type="fixed"/>
        <w:tblCellMar>
          <w:top w:w="28" w:type="dxa"/>
          <w:left w:w="28" w:type="dxa"/>
          <w:bottom w:w="28" w:type="dxa"/>
          <w:right w:w="28" w:type="dxa"/>
        </w:tblCellMar>
      </w:tblPr>
      <w:tblGrid>
        <w:gridCol w:w="4951"/>
        <w:gridCol w:w="146"/>
        <w:gridCol w:w="162"/>
        <w:gridCol w:w="1038"/>
        <w:gridCol w:w="146"/>
        <w:gridCol w:w="146"/>
        <w:gridCol w:w="373"/>
        <w:gridCol w:w="827"/>
        <w:gridCol w:w="146"/>
        <w:gridCol w:w="146"/>
        <w:gridCol w:w="195"/>
        <w:gridCol w:w="1050"/>
        <w:gridCol w:w="19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 be</w:t>
              <w:br/>
              <w:t>Issued upon</w:t>
              <w:br/>
              <w:t>Exercise of</w:t>
              <w:br/>
              <w:t>Outstanding</w:t>
              <w:br/>
              <w:t>Options,</w:t>
              <w:br/>
              <w:t>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of Outstanding</w:t>
              <w:br/>
              <w:t>Options and</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Securities</w:t>
              <w:br/>
              <w:t>Remaining</w:t>
              <w:br/>
              <w:t>Available for</w:t>
              <w:br/>
              <w:t>Future Issuance</w:t>
              <w:br/>
              <w:t>Under Equity</w:t>
              <w:br/>
              <w:t>Compensation</w:t>
              <w:br/>
              <w:t>Plans</w:t>
            </w:r>
            <w:r>
              <w:rPr>
                <w:rFonts w:ascii="Times New Roman" w:hAnsi="Times New Roman"/>
                <w:b/>
                <w:color w:val="000000"/>
                <w:sz w:val="11"/>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Approved by Stockholders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8" w:space="1" w:color="000000"/>
        </w:pBdr>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our 2006 Stock Plan, 2015 Stock Incentive Plan, 2020 Equity Incentive Plan, 2023 Plan and 2023 Employee Stock Purchase Plan (“2023 ESPP”).</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amount includes 35,022 shares available for issuance under the 2023 Plan and 257,364 shares available for issuance under the 2023 ESPP. The 2023 Plan and 2023 ESPP each contain an “evergreen” provision. Pursuant to such provision contained in the 2023 Plan, on January 1st of each year we automatically add 5%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rFonts w:ascii="Times New Roman" w:hAnsi="Times New Roman"/>
          <w:color w:val="000000"/>
          <w:sz w:val="16"/>
        </w:rPr>
        <w:t>our shares of common stock outstanding on the preceding December 31</w:t>
      </w:r>
      <w:r>
        <w:rPr>
          <w:rFonts w:ascii="Times New Roman" w:hAnsi="Times New Roman"/>
          <w:color w:val="000000"/>
          <w:sz w:val="11"/>
        </w:rPr>
        <w:t>st</w:t>
      </w:r>
      <w:r>
        <w:rPr>
          <w:rFonts w:ascii="Times New Roman" w:hAnsi="Times New Roman"/>
          <w:color w:val="000000"/>
          <w:sz w:val="16"/>
        </w:rPr>
        <w:t>, and pursuant to such provision contained in the 2023 ESPP, we automatically add the lesser of 1% of our shares of common stock outstanding on the preceding December 31st or 195,000 shares of common stock, respectively, to the shares reserved for issuance, provided that our Board may authorize a lesser number in each case. As of the date of this Amendment, we have not yet utilized our 2023 ESPP.</w:t>
      </w:r>
    </w:p>
    <w:p>
      <w:pPr>
        <w:pStyle w:val="Heading1"/>
        <w:bidi w:val="0"/>
        <w:spacing w:before="240" w:after="283"/>
        <w:jc w:val="left"/>
        <w:rPr>
          <w:rFonts w:ascii="Times New Roman" w:hAnsi="Times New Roman"/>
          <w:color w:val="000000"/>
          <w:sz w:val="20"/>
        </w:rPr>
      </w:pPr>
      <w:bookmarkStart w:id="7" w:name="security_ownership_of_certain_beneficia"/>
      <w:bookmarkEnd w:id="7"/>
      <w:r>
        <w:rPr>
          <w:rFonts w:ascii="Times New Roman" w:hAnsi="Times New Roman"/>
          <w:color w:val="000000"/>
          <w:sz w:val="20"/>
        </w:rPr>
        <w:t>Security Ownership of Certain Beneficial Owners and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certain information regarding the ownership of the Company’s common stock as of March 31, 2026 by: (i) each of our directors; (ii) each of our named executive officers as defined below under the heading “Executive Compensation”; (iii) each person known by us to beneficially own more than 5% of our common stock and (iv) all of our current executive officers and directors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Beneficial ownership is determined in accordance with the rules of the SEC and includes voting and investment power with respect to the securities. This table is based upon information supplied by officers, directors and principal stockholders and Schedules 13D and 13G filed with the SEC. Except as indicated by footnote, and subject to applicable community property laws, we believe the persons named in the table have sole voting and investment power with respect to all shares of common stock shown as beneficially owned by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Percentage of beneficial ownership is based on 15,746,416 shares of common stock outstanding as of March 31, 2026. The number of shares of common stock used to calculate the percentage ownership of each listed person includes the shares of common stock underlying options or warrants held by such persons that are exercisable within 60 days following March 31, 2026. Unless otherwise indicated, the address for the persons and entities listed in the table below is c/o CalciMedica, Inc., 505 Coast Boulevard South, Suite 307, La Jolla, California 92037.</w:t>
      </w:r>
    </w:p>
    <w:p>
      <w:pPr>
        <w:pStyle w:val="TextBody"/>
        <w:bidi w:val="0"/>
        <w:jc w:val="both"/>
        <w:rPr/>
      </w:pPr>
      <w:r>
        <w:rPr/>
        <w:t> </w:t>
      </w:r>
    </w:p>
    <w:tbl>
      <w:tblPr>
        <w:tblW w:w="8368" w:type="dxa"/>
        <w:jc w:val="left"/>
        <w:tblInd w:w="0" w:type="dxa"/>
        <w:tblLayout w:type="fixed"/>
        <w:tblCellMar>
          <w:top w:w="28" w:type="dxa"/>
          <w:left w:w="28" w:type="dxa"/>
          <w:bottom w:w="28" w:type="dxa"/>
          <w:right w:w="28" w:type="dxa"/>
        </w:tblCellMar>
      </w:tblPr>
      <w:tblGrid>
        <w:gridCol w:w="5716"/>
        <w:gridCol w:w="146"/>
        <w:gridCol w:w="146"/>
        <w:gridCol w:w="931"/>
        <w:gridCol w:w="146"/>
        <w:gridCol w:w="146"/>
        <w:gridCol w:w="192"/>
        <w:gridCol w:w="754"/>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br/>
              <w:t>Beneficially</w:t>
              <w:br/>
              <w:t>Owned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Shares</w:t>
              <w:br/>
              <w:t>Beneficially</w:t>
              <w:br/>
              <w:t>Owned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Sanderling Ventures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Alafi Capital Company, LLC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Avenue Venture Opportunities Fund II, L.P.</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Jorey Chernett</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Soleus Capital</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Bering Partners II, L.P.</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 Rachel Leheny, Ph.D.</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Eric W. Roberts</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Sudarshan Hebbar, M.D.</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Frederic Guerard, Pharm.D.</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Alan Glicklich</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Fred Middleton</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Allan Shaw</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N. Wilson</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current executive officers and directors as a group (11 persons)</w:t>
            </w: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Represents beneficial ownership of less than one percent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946,744 shares of common stock and 5,357 shares of common stock issuable upon exercise of warrants held by Sanderling Venture Partners VI, LP, (ii) 814,300 shares of common stock and 17,313 shares of common stock issuable upon exercise of warrants held by Sanderling Venture Partners VI Co-Investment Fund, L.P., (iii) 22,479 shares of common stock and 183 shares of common stock issuable upon exercise of warrants held by Sanderling Ventures Management VI, (iv) 7,456 shares of the common stock held by Sanderling VI Beteiligungs GmbH &amp; Co KG, (v) 8,884 shares of common stock held by Sanderling VI Limited Partnership, (vi) 435,148 shares of common stock and 12,380 shares of common stock issuable upon exercise of warrants held by Sanderling Ventures VII, L.P., (vii) 27,609 shares of common stock and 840 shares of common stock issuable upon exercise of warrants held by Sanderling Ventures VII Annex Fund, L.P., (viii) 114,260 shares of common stock and 3,249 shares of common stock issuable upon exercise of warrants held by Sanderling Ventures VII (Canada), LP, and (ix) 30,292 shares of common stock and 167 shares of common stock issuable upon exercise of warrants held by Sanderling Ventures Management VII. The number of shares beneficially owned by the foregoing Sanderling Ventures entities is limited by a 4.99% beneficial ownership limitation applicable to the Common Warrants (as defined below) held by the foregoing Sanderling Ventures entities. Accordingly, the number of shares reported does not reflect shares of common stock underlying such Common Warrants to the extent the exercise thereof would exceed the beneficial ownership limitation. Mr. Middleton is a managing director at Sanderling Ventures. Mr. Middleton has shared voting and dispositive power with respect to the foregoing shares beneficially owned by Sanderling Ventures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disclaims beneficial ownership of such shares except to the extent of his respective pecuniary interest therein. The address of Sanderling Ventures is 1300 S. El Camino Real, Suite 203, San Mateo, CA 94402.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Christopher D. Alafi is the managing member of Alafi Capital Company, LLC (“Alafi Capital”) and may be deemed to have sole voting or investment power. The business address of each of Alafi Capital and Mr. Alafi is 8 Admiral Drive, Suite 324, Emeryville, CA 94608. Information is based solely on an amended Schedule 13G filed with the SEC on August 5,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pPr>
      <w:r>
        <w:rPr>
          <w:rFonts w:ascii="Times New Roman" w:hAnsi="Times New Roman"/>
          <w:color w:val="000000"/>
          <w:sz w:val="16"/>
        </w:rPr>
        <w:t>Consists of (i) 718,390 shares of common stock issuable upon the conversion of a loan from Avenue Venture Opportunities Fund II, L.P. (“Fund”) to the Company in the principal amount of $2 million and (ii) 641,163 shares of common stock issuable upon the exercise of outstanding warrants. Such loan is convertible at any time at the Fund’s option at a per share conversion price of $2.784. Avenue Capital Management II, L.P. is a registered investment adviser and is the manager (“Manager”) of the Fund. Avenue Venture Opportunities Partners II, LLC (“AVOPII”) is the general partner of the Fund. AVOPII has delegated voting and dispositive power over securities held by the Fund to Manager and disclaims beneficial ownership of securities held by the Fund, except to the extent of its pecuniary interest, if any, therein. GL Venture Opportunities Partners II, LLC (“GLVOPII”) is the managing member of AVOPII, the general partner of the Fund. GLVOPII has no voting or dispositive power over securities held by the Fund and disclaims beneficial ownership of securities held by the Fund, except to the extent of its pecuniary interest, if any, therein. Marc Lasry is the beneficial owner of GLVOPII and therefore, is the ultimate beneficial owner of the Fund. Mr. Lasry does not have voting or dispositive power over securities held by the Fund. The address of each of the entities and Mr. Lasry is 11 West 42</w:t>
      </w:r>
      <w:r>
        <w:rPr>
          <w:rFonts w:ascii="Times New Roman" w:hAnsi="Times New Roman"/>
          <w:color w:val="000000"/>
          <w:sz w:val="11"/>
        </w:rPr>
        <w:t>nd</w:t>
      </w:r>
      <w:r>
        <w:rPr>
          <w:color w:val="000000"/>
        </w:rPr>
        <w:t xml:space="preserve"> </w:t>
      </w:r>
      <w:r>
        <w:rPr>
          <w:rFonts w:ascii="Times New Roman" w:hAnsi="Times New Roman"/>
          <w:color w:val="000000"/>
          <w:sz w:val="16"/>
        </w:rPr>
        <w:t>Street, 9</w:t>
      </w:r>
      <w:r>
        <w:rPr>
          <w:rFonts w:ascii="Times New Roman" w:hAnsi="Times New Roman"/>
          <w:color w:val="000000"/>
          <w:sz w:val="11"/>
        </w:rPr>
        <w:t>th</w:t>
      </w:r>
      <w:r>
        <w:rPr>
          <w:color w:val="000000"/>
        </w:rPr>
        <w:t xml:space="preserve"> </w:t>
      </w:r>
      <w:r>
        <w:rPr>
          <w:rFonts w:ascii="Times New Roman" w:hAnsi="Times New Roman"/>
          <w:color w:val="000000"/>
          <w:sz w:val="16"/>
        </w:rPr>
        <w:t xml:space="preserve">Floor, New York, New York 10036. Information is based solely on an amended Schedule 13G filed with the SEC on September 9, 2025.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Mr. Chernett’s address is 6222 Indianwood Trail, Bloomfield Hills, Michigan 483010. Information is based solely on a Schedule 13G filed with the SEC on December 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341,952 shares of common stock held by Soleus Capital Master Fund, L.P. (“Soleus Master Fund”), (ii) 195,976 shares of common stock issuable upon exercise of Common Warrants held by Soleus Master Fund, (iii) 341,952 shares of common stock held by Soleus Private Equity Fund III, L.P. (“Soleus PE Fund III”) and (iv) 195,976 shares of common stock issuable upon exercise of Common Warrants held by Soleus PE Fund III. The number of shares beneficially owned by Soleus Master Fund and Soleus PE Fund III is limited by a 9.99% beneficial ownership limitation applicable to the Common Warrants (as defined below) held by Soleus Master Fund and Soleus PE Fund III. Accordingly, the number of shares reported does not reflect shares of common stock underlying such Common Warrants to the extent the exercise thereof would exceed the beneficial ownership limitation. Soleus Capital, LLC (“Soleus Capital”) is the sole general partner of Soleus Master Fund and thus holds voting and dispositive power over the shares held by Soleus Master Fund. Soleus Capital Group, LLC (“SCG”) is the sole managing member of Soleus Capital. Guy Levy is the sole managing member of SCG. Each of SCG, Soleus Capital and Mr. Levy disclaims beneficial ownership of these securities held by Soleus Master Fund, except to the extent of his or their respective pecuniary interests therein. Soleus Private Equity GP III, LLC is the sole general partner of Soleus PE Fund III. Soleus PE GP III, LLC is the sole manager of Soleus Private Equity GP III, LLC. Mr. Levy is the sole managing member of Soleus PE GP III, LLC. Each of Mr. Levy, Soleus PE GP III, LLC and Soleus Private Equity GP III, LLC disclaims beneficial ownership of the securities held by the Soleus PE Fund III, except to the extent of their respective pecuniary interests therein. The address of each of Mr. Levy, Soleus PE GP III, LLC and Soleus Private Equity GP III, LLC is c/o Soleus Capital Management, L.P., 104 Field Point Road, 2nd Floor, Greenwich, CT 06830. Information is based solely on an amended Schedule 13G filed with the SEC on November 7,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663,246 shares of common stock and (ii) 130,651 shares of common stock issuable upon the exercise of warrants held by Bering Partners II, L.P. (“Bering II”). Bering Partners II GP, L.L.C., the general partner of Bering II (“Bering II GP”) may be deemed to have sole voting, investment and dispositive power with respect to the shares held by Bering II . Evgeny Zaystev and Philip Sawyer, the managing members of Bering II GP, may be deemed to have shared power to vote these shares. The address of each of the entities and individuals is 601 California Street, Suite 620, San Francisco, California 94108. Information is based solely on a Schedule 13G filed with the SEC on October 29, 2025.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135,426 shares of common stock held by Dr. Leheny, (ii) 1,000 shares of common stock held by Dr. Leheny’s spouse, (iii) 3,500 shares held by Scheibler-Leheny Family Living Trust, (iv) 45,543 shares of common stock underlying Common Warrants held by Dr. Leheny and (v) 582,332 shares of common stock that Dr. Leheny has the right to acquire within 60 days of March 31, 2026 pursuant to the exercise of stock options. Also includes (i) 356,989 shares of common stock held by Valence Investments SPV IV, LLC (“Valence IV”), (ii) 66,228 shares of common stock and 9,935 shares of common stock issuable upon exercise of warrants held by Valence Investments SPV V, LLC (“Valence V”) and (iii) 316,109 shares of common stock held by Valence Investments SPV VI, LLC (“Valence VI”). Dr. Leheny and Mr. Roberts are the co-founders and managing directors of Valence IV, Valence V and Valence VI, have shared voting and dispositive power with respect to shares held by such entities, and disclaim beneficial ownership of such shares except to the extent of his pecuniary interest therein. The principal business address of Valence Investment LLC is 590 Madison Avenue, 21st Floor, New York, NY 10022.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324,411 shares of common stock held by Mr. Roberts, (iii) 10,661 shares of common stock held by IRA Financial Trust Company, CFBO Eric W. Roberts, (iv) 84,150 shares of common stock held by FMTC Custodian – CFBO Eric W. Roberts, (v) 49,894 shares of common stock held by Oppenheimer &amp; Co. Inc. Custodian FBO Eric W Roberts Roth IRA, (vi) 2,226 shares of common stock that Mr. Roberts has the right to acquire within 60 days of March 31, 2026 pursuant to the exercise of warrants held by Mr. Roberts, (vii) 45,543 shares of common stock underlying Common Warrants held by Mr. Roberts and (viii) 361,642 shares of common stock that Mr. Roberts has the right to acquire within 60 days of March 31, 2026 pursuant to the exercise of stock options. Also includes (i) 356,989 shares of common stock held by Valence IV, (ii) 66,228 shares of common stock and 9,935 shares of common stock issuable upon exercise of warrants held by Valence V and (iii) 316,109 shares of common stock held by Valence VI. Dr. Leheny and Mr. Roberts are the co-founders and managing directors of Valence IV, Valence V and Valence VI, have shared voting and dispositive power with respect to shares held by such entities, and disclaim beneficial ownership of such shares except to the extent of his pecuniary interest therein. The principal business address of Valence Investment LLC is 590 Madison Avenue, 21st Floor, New York, NY 10022.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46,000 shares of common stock held by Dr. Hebbar and (ii) 422,219 shares of common stock Dr. Hebbar has the right to acquire within 60 days of March 31, 2026 pursuant to the exercise of stock options.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90,727 shares of common stock held by Dr. Guerard and (ii) 60,000 shares of common stock Dr. Guerard has the right to acquire within 60 days of March 31, 2026 pursuant to the exercise of stock options.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48,991 shares of common stock that Mr. Glicklich has the right to acquire within 60 days of March 31, 2026 pursuant to the exercise of options.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the shares described in note (1) above, (ii) 36,514 shares of common stock held by Mr. Middleton, (iii) 5,760 shares of common stock issuable upon exercise of warrants held by Mr. Middleton, (iv) 8,176 shares of common stock held by Golden Triangle Ventures, LLC and (v) 86,249 shares of common stock that Mr. Middleton has the right to acquire within 60 days of March 31, 2026 pursuant to the exercise of options. Mr. Middleton is managing member of Golden Triangle Ventures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98,468 shares of common stock that Mr. Shaw has the right to acquire within 60 days of March 31, 2026 pursuant to the exercise of stock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422,029 shares of common stock held by Mr. Wilson, (ii) 42,749 shares of common stock issuable upon exercise of warrants held by Mr. Wilson and (iii) 151,798 shares of common stock that Mr. Wilson has the right to acquire within 60 days of March 31, 2026 pursuant to the exercise of stock options.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the shares listed in notes (7) through (14) above, (ii) 12,353 shares of common stock, and (iii) 723,404 shares of common stock our executive officers have the right to acquire within 60 days of March 31, 2026 pursuant to the exercise of stock options or vesting of restricted stock units.</w:t>
      </w:r>
    </w:p>
    <w:p>
      <w:pPr>
        <w:pStyle w:val="TextBody"/>
        <w:bidi w:val="0"/>
        <w:spacing w:before="240" w:after="283"/>
        <w:jc w:val="left"/>
        <w:rPr>
          <w:rFonts w:ascii="Times New Roman" w:hAnsi="Times New Roman"/>
          <w:b/>
          <w:color w:val="000000"/>
          <w:sz w:val="20"/>
        </w:rPr>
      </w:pPr>
      <w:bookmarkStart w:id="8" w:name="item_13_certain_relationships_1"/>
      <w:bookmarkEnd w:id="8"/>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Relationships and Related-Party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has adopted a written related-person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related-person transaction with us without the review and approval of our Audit Committee, or our Nominating and Corporate Governance committee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the related party’s relationship to the Company and interest in the transaction and the potential impact on a director’s independence if the related party is a director.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the executive officer and director compensation arrangements, which are discussed above for our named executive officers and directors under “Executive Compensation,” we describe below transactions and series of similar transactions, since January 1, 2024, with respect to which we were or will be a party in which the amount involved exceeded or will exceed the lesser of $120,000 or 1% of the average of the Company’s total assets at year 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Danforth Consulting Agreement and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26, 2020, Private CalciMedica entered into a consulting agreement (the “Danforth Consulting Agreement”) with Danforth Advisors, LLC (“Danforth”), a company affiliated with Mr. Geffken, our acting chief financial officer until November 2024. The Danforth Consulting Agreement provides that Danforth will provide certain strategic and financial advice and support services to us. The Danforth Consulting Agreement remains in effect until such time as either party has given notice of termination and may be terminated by either party upon 30 days prior written notice to the other party. As consideration under the Danforth Consulting Agreement, we compensate Danforth with consulting fees based on hourly rates as enumerated in the Danforth Consulting Agreement. In the years ended December 31, 2025 and 2024, we paid aggregate fees to Danforth of $131,000 and $294,000, respectively, pursuant to the Danforth Consulting Agreement. Through the date of this Amendment, we have paid aggregate fees to Danforth of $1.5 million pursuant to the Danforth Consulting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17, 2024, in connection with Mr. Geffken’s services provided under the Danforth Consulting Agreement, CalciMedica granted to SG Dan Equity a warrant (“SG 2024 Warrant”) to purchase 10,000 shares of CalciMedica common stock at an exercise price of $5.45 per share (subject to adjustment as provided therein), which vested in equal monthly installments over a period of one year from the grant date and is fully vested. The SG 2024 Warrant is exercisable until May 24, 2034, unless earlier terminated. The SG 2024 Warrant shall terminate in the event of certain change of control transactions or asset transfers (as provided therein) unless exercised immediately prior to any such transaction.</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2024 Private 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19, 2024, we and certain accredited investors (each an “Investor” and collectively, the “Investors”) entered into a securities purchase agreement (the “Securities Purchase Agreement”) pursuant to which we sold an aggregate of (i) 4,985,610 shares (the “Shares”) of our common stock (ii) to certain investors, in lieu of Shares, pre-funded warrants (the “Pre-Funded Warrants”) to purchase an aggregate of 306,506 shares of our common stock, (iii) Tranche A warrants (the “Tranche A Common Warrant”) to purchase an aggregate of up to 2,646,058 shares of our common stock and (iv) Tranche B warrants (the “Tranche B Common Warrant” and, together with the Tranche A Common Warrant, the “Common Warrants”) to purchase an aggregate of up to 2,646,058 shares of our common stock, for an aggregate of up to 5,292,116 shares of our common stock underlying the Common Warrants, in a private placement transaction (the “Private Placement”). The purchase price per Share and accompanying Common Warrants was $3.827 (or $4.3915 for directors, employees or consultants participating in the Private Placement) (or $3.8269 per Pre-Funded Warrant and accompanying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Common Warrants, which represents the price of $3.827 per Share and accompanying Common Warrants minus the $0.0001 per share exercise price of each such Pre-Funded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Private Placement, we and the Investors entered into a Registration Rights Agreement (the “2024 Registration Rights Agreement”), pursuant to which we granted certain registration rights to the Investors with respect to their Shares and the shares of our common stock underlying their Common Warrants and Pre-Funded Warrants (collectively, the “Warrants”). On January 31, 2024, we filed a resale registration statement registering the resale of the shares sold in the Private Placement, which was declared effective on February 9, 2024. We are required to keep the resale registration statement continuously effective until such date that all registrable securities (as such term is defined in the 2024 Registration Rights Agreement) covered by the resale registration statement have been sold thereunder or pursuant to Rule 144 promulgated under the Securities Act or may be sold without volume or manner-of-sale restrictions pursuant to Rule 144 and without the requirement for us to be in compliance with the current public information requirement under Rule 144.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Securities Purchase Agreement, and subject to certain exceptions, we agreed not to (i) issue, enter into any agreement to issue or announce the issuance or proposed issuance of any shares of our common stock or common stock equivalents, or (ii) file any registration statement or amendment or supplement thereto, until the later of (x) 90 days following the initial closing date of the Private Placement and (y) the effective date of the registration statement covering the resale of the Shares and shares of common stock underlying the Warrants. We also agreed not to effect or enter into an agreement to effect any issuance of common stock or common stock equivalents involving a Variable Rate Transaction (as defined in the Securities Purchase Agreement) until the earlier of one year following the initial closing of the Private Placement and the date that no Common Warrants are outstanding.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Pre-Funded Warrants have an exercise price of $0.0001 per share, are exercisable immediately upon issuance and remain exercisable until exercised in full. On January 28, 2026, the Pre-Funded Warrants associated with Deerfield Partners L.P. were exercised in full.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Tranche A Common Warrants were exercisable immediately upon issuance and expired on the earlier of (i) 5:00 p.m. (New York City time) on December 31, 2024 and (ii) 30 days following our public disclosure of topline results from our Phase 2b clinical trial in patients with acute pancreatitis (also referred to as the “CARPO” trial). The Tranche A Common Warrants were exercisable for shares of our common stock (or, for certain investors, in lieu of shares, Pre-Funded Warrants) at an exercise price per share equal to $5.36 (or $5.3599 per Pre-Funded Warrant). The Tranche A Common Warrants expired, unexercised on July 27,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Tranche B Common Warrants are exercisable immediately upon issuance and will expire on the earlier of (i) 5:00 p.m. (New York City time) on December 31, 2026 and (ii) 30 days following our public disclosure of topline results from our Phase 2 clinical trial in patients with acute kidney injury. The Tranche B Common Warrants may be exercised to purchase shares of our common stock (or, for certain investors, in lieu of shares, Pre-Funded Warrants) at an exercise price per share equal to $7.15 (or $7.1499 per Pre-Funded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holder of Warrants may not exercise any portion of such Warrants to the extent that the holder would beneficially own more than 4.99% (or, at the election of the holder 9.99% or 19.99%) of our outstanding common stock immediately after exercise.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initial closing of the Private Placement occurred on January 23, 2024 and the second closing occurred on February 5, 2024. Gross proceeds from the Private Placement were $20.4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purchases in the Private Placement by members of our Board, entities affiliated with our executive officers and members of our Board and beneficial owners of more than 5% of our common stock.</w:t>
      </w:r>
    </w:p>
    <w:p>
      <w:pPr>
        <w:pStyle w:val="TextBody"/>
        <w:bidi w:val="0"/>
        <w:jc w:val="both"/>
        <w:rPr/>
      </w:pPr>
      <w:r>
        <w:rPr/>
        <w:t> </w:t>
      </w:r>
    </w:p>
    <w:tbl>
      <w:tblPr>
        <w:tblW w:w="8289" w:type="dxa"/>
        <w:jc w:val="left"/>
        <w:tblInd w:w="0" w:type="dxa"/>
        <w:tblLayout w:type="fixed"/>
        <w:tblCellMar>
          <w:top w:w="28" w:type="dxa"/>
          <w:left w:w="28" w:type="dxa"/>
          <w:bottom w:w="28" w:type="dxa"/>
          <w:right w:w="28" w:type="dxa"/>
        </w:tblCellMar>
      </w:tblPr>
      <w:tblGrid>
        <w:gridCol w:w="3796"/>
        <w:gridCol w:w="146"/>
        <w:gridCol w:w="211"/>
        <w:gridCol w:w="931"/>
        <w:gridCol w:w="146"/>
        <w:gridCol w:w="146"/>
        <w:gridCol w:w="164"/>
        <w:gridCol w:w="1051"/>
        <w:gridCol w:w="146"/>
        <w:gridCol w:w="146"/>
        <w:gridCol w:w="164"/>
        <w:gridCol w:w="105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Participants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Purchase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 of</w:t>
              <w:br/>
              <w:t>Common Stock</w:t>
              <w:br/>
              <w:t>Underlying</w:t>
              <w:br/>
              <w:t>Warrants</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Deerfield Partners,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1,613,012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Soleus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Sanderling Ventures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Stonepine Capital,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Rachel Leheny,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 Roberts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N. Wilson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shares of our common stock underlying Pre-Funded Warrants and/or Common Warrants.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Sanderling Venture Partners VI, LP, (ii) Sanderling Venture Partners VI Co-Investment Fund, L.P., (iii) Sanderling Ventures Management VI, (iv) Sanderling Ventures VII, L.P., (v) Sanderling Ventures VII Annex Fund, L.P., (vi) Sanderling Ventures VII (Canada), LP, and (vii) Sanderling Venture Management VII.</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Indemnification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indemnification agreements with each of our directors and executive officers. The indemnification agreements, our Certificate of Incorporation and our restated bylaws require us to indemnify our directors to the fullest extent not prohibited by Delaware law. Subject to certain limitations, our restated bylaws also require us to advance expenses incurred by our directors and officers.</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Director Independence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is listed on the Nasdaq Capital Market. Under the Nasdaq Listing Rules, independent directors must constitute a majority of a listed company’s board of directors. In addition, the Nasdaq Listing Rules require that, subject to specified exceptions, each member of a listed company’s audit, compensation and nominating and corporate governance committees must be an “independent director.”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A. Rachel Leheny, Ph.D. and Eric W. Roberts, and for the periods prior to March 20, 2026, Frederic Guerard, Pharm. D., representing a majority of our directors are “independent directors” as defined under the applicable rules and regulations of the SEC and the Nasdaq Listing Rules, and Eric Bjerkholt, who left the Board during 2025, was “independent” during the period he served on the Board.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any affiliates.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9" w:name="item_14_principal_accounting_fees_1"/>
      <w:bookmarkEnd w:id="9"/>
      <w:r>
        <w:rPr>
          <w:rFonts w:ascii="Times New Roman" w:hAnsi="Times New Roman"/>
          <w:b/>
          <w:color w:val="000000"/>
          <w:sz w:val="20"/>
        </w:rPr>
        <w:t>Item 14. Principal Accounting Fees and Services.</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Principal Accountant Fees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fees for professional audit services rendered by Baker Tilly for the audit of our annual financial statements for the year ended December 31, 2025.</w:t>
      </w:r>
    </w:p>
    <w:p>
      <w:pPr>
        <w:pStyle w:val="TextBody"/>
        <w:bidi w:val="0"/>
        <w:jc w:val="both"/>
        <w:rPr/>
      </w:pPr>
      <w:r>
        <w:rPr/>
        <w:t> </w:t>
      </w:r>
    </w:p>
    <w:tbl>
      <w:tblPr>
        <w:tblW w:w="3563" w:type="dxa"/>
        <w:jc w:val="left"/>
        <w:tblInd w:w="0" w:type="dxa"/>
        <w:tblLayout w:type="fixed"/>
        <w:tblCellMar>
          <w:top w:w="28" w:type="dxa"/>
          <w:left w:w="28" w:type="dxa"/>
          <w:bottom w:w="28" w:type="dxa"/>
          <w:right w:w="28" w:type="dxa"/>
        </w:tblCellMar>
      </w:tblPr>
      <w:tblGrid>
        <w:gridCol w:w="1726"/>
        <w:gridCol w:w="146"/>
        <w:gridCol w:w="319"/>
        <w:gridCol w:w="1181"/>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Fees Billed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Audit-related 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color w:val="000000"/>
        </w:rPr>
      </w:pPr>
      <w:r>
        <w:rPr>
          <w:color w:val="000000"/>
        </w:rPr>
        <w:t>“</w:t>
      </w:r>
      <w:r>
        <w:rPr>
          <w:rFonts w:ascii="Times New Roman" w:hAnsi="Times New Roman"/>
          <w:color w:val="000000"/>
          <w:sz w:val="16"/>
        </w:rPr>
        <w:t>Audit fees” include fees for professional services provided by Baker Tilly in connection with the audit of our financial statements, review of our quarterly financial statements, and related services that are typically provided in connection with registration statements.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color w:val="000000"/>
        </w:rPr>
      </w:pPr>
      <w:r>
        <w:rPr>
          <w:color w:val="000000"/>
        </w:rPr>
        <w:t>“</w:t>
      </w:r>
      <w:r>
        <w:rPr>
          <w:rFonts w:ascii="Times New Roman" w:hAnsi="Times New Roman"/>
          <w:color w:val="000000"/>
          <w:sz w:val="16"/>
        </w:rPr>
        <w:t>Audit-related fees” include fees billed for assurance and related services reasonably related to the performance of the audit or review of our financial statements for the year ended December 31, 2025.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color w:val="000000"/>
        </w:rPr>
      </w:pPr>
      <w:r>
        <w:rPr>
          <w:color w:val="000000"/>
        </w:rPr>
        <w:t>“</w:t>
      </w:r>
      <w:r>
        <w:rPr>
          <w:rFonts w:ascii="Times New Roman" w:hAnsi="Times New Roman"/>
          <w:color w:val="000000"/>
          <w:sz w:val="16"/>
        </w:rPr>
        <w:t>Tax fees” include fees for tax compliance and advice. Tax advice fees encompass a variety of permissible services, including technical tax advice related to federal and state income tax matters, assistance with sales tax, and assistance with tax audits.</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Policy on Audit Committee Pre-Approval of Audit and Permissible Non-Audit Services of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Financial Statements. </w:t>
      </w:r>
      <w:r>
        <w:rPr>
          <w:rFonts w:ascii="Times New Roman" w:hAnsi="Times New Roman"/>
          <w:color w:val="000000"/>
          <w:sz w:val="20"/>
        </w:rPr>
        <w:t>No financial statements are filed with this Amendment. These items were included as part of the Original Filing.</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Financial Statement Schedules. </w:t>
      </w:r>
      <w:r>
        <w:rPr>
          <w:rFonts w:ascii="Times New Roman" w:hAnsi="Times New Roman"/>
          <w:color w:val="000000"/>
          <w:sz w:val="20"/>
        </w:rPr>
        <w:t>Financial statement schedules have been omitted because they are either not required, not applicable, or the information is otherwise included in the Original Filing.</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Exhibits. </w:t>
      </w:r>
      <w:r>
        <w:rPr>
          <w:rFonts w:ascii="Times New Roman" w:hAnsi="Times New Roman"/>
          <w:color w:val="000000"/>
          <w:sz w:val="20"/>
        </w:rPr>
        <w:t>The exhibits listed in the Original Filing are required by Item 601 of Regulation S-K. A list of the exhibits filed with this Amendment are provided below.</w:t>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10" w:name="part_iv_exhibit_index"/>
      <w:bookmarkEnd w:id="10"/>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06"/>
        <w:gridCol w:w="146"/>
        <w:gridCol w:w="4617"/>
        <w:gridCol w:w="146"/>
        <w:gridCol w:w="522"/>
        <w:gridCol w:w="146"/>
        <w:gridCol w:w="804"/>
        <w:gridCol w:w="146"/>
        <w:gridCol w:w="1101"/>
        <w:gridCol w:w="146"/>
        <w:gridCol w:w="631"/>
        <w:gridCol w:w="146"/>
        <w:gridCol w:w="948"/>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and Reorganization, dated as of November 21, 2022, by and among Graybug Vision, Inc., Camaro Merger Sub, Inc. and CalciMedica, Inc., as amended by the First Amendment, dated February 10,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dated March 20, 2023 to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12, 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Reference is made to Exhibits</w:t>
            </w:r>
            <w:hyperlink r:id="rId6">
              <w:r>
                <w:rPr>
                  <w:rStyle w:val="InternetLink"/>
                  <w:rFonts w:ascii="Times New Roman" w:hAnsi="Times New Roman"/>
                  <w:color w:val="0000FF"/>
                  <w:sz w:val="20"/>
                  <w:u w:val="single"/>
                </w:rPr>
                <w:t xml:space="preserve"> 3.1</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3.2</w:t>
              </w:r>
            </w:hyperlink>
            <w:r>
              <w:rPr>
                <w:rFonts w:ascii="Times New Roman" w:hAnsi="Times New Roman"/>
                <w:color w:val="000000"/>
                <w:sz w:val="20"/>
              </w:rPr>
              <w:t xml:space="preserve"> and </w:t>
            </w:r>
            <w:hyperlink r:id="rId8">
              <w:r>
                <w:rPr>
                  <w:rStyle w:val="InternetLink"/>
                  <w:rFonts w:ascii="Times New Roman" w:hAnsi="Times New Roman"/>
                  <w:color w:val="0000FF"/>
                  <w:sz w:val="20"/>
                  <w:u w:val="single"/>
                </w:rPr>
                <w:t>3.3</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Registrant’s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21, 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Registration Rights Agreement, dated November 21, 2022, by and among CalciMedica, Inc. and the several purchasers signatory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Registration Rights Agreement by and among CalciMedica, Inc. and the persons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526"/>
        <w:gridCol w:w="146"/>
        <w:gridCol w:w="511"/>
        <w:gridCol w:w="146"/>
        <w:gridCol w:w="836"/>
        <w:gridCol w:w="146"/>
        <w:gridCol w:w="1138"/>
        <w:gridCol w:w="146"/>
        <w:gridCol w:w="631"/>
        <w:gridCol w:w="146"/>
        <w:gridCol w:w="98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Warrant to Purchase Common Stock, dated December 11, 2019, by and between the Registrant and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Warrant to Purchase Shares of Series D Convertible Preferred Stock of CalciMedica,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Warrant to Purchase Common Stock dated as of November 9, 2020, issued by CalciMedica, Inc.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Warrant to Purchase Common Stock, dated as of October 18, 2022, issued by CalciMedica, Inc.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Warrant to Purchase Common Stock, dated as of October 18, 2022, issued by CalciMedica, Inc. to Eric Roberts.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Warrant to Purchase Common Stock, dated as of October 25,2022, issued by CalciMedica, Inc. to Fred Middleton.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Warrant to Purchase Shares of Series B Convertible Preferred Stock of CalciMedica,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333-271115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4,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Tranche B Common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Placement Agent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Warrant to Purchase Shares of Stock of CalciMedica, Inc. dated February 28, 2025, by and between CalciMedica, Inc. and Avenue Venture Opportunities Fund II, LP.</w:t>
              </w:r>
            </w:hyperlink>
            <w:hyperlink r:id="rId2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Offer Letter between CalciMedica, Inc. and A. Rachel Leheny, Ph.D., dated May 20, 2020.</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Offer Letter between CalciMedica, Inc. and Eric Roberts, dated May 20, 2020.</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Offer Letter between CalciMedica, Inc. and Sudarshan Hebbar, M.D., dated August 24, 2015,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Offer Letter between CalciMedica, Inc. and Michael Dunn, dated August 29, 2014,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Offer Letter between CalciMedica, Inc. and Kenneth A. Stauderman, Ph.D., dated August 29, 2014,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Offer Letter between CalciMedica, Inc. and Stephen Bardin, MBA, dated November 7,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09"/>
        <w:gridCol w:w="4666"/>
        <w:gridCol w:w="109"/>
        <w:gridCol w:w="528"/>
        <w:gridCol w:w="109"/>
        <w:gridCol w:w="845"/>
        <w:gridCol w:w="109"/>
        <w:gridCol w:w="1184"/>
        <w:gridCol w:w="109"/>
        <w:gridCol w:w="631"/>
        <w:gridCol w:w="109"/>
        <w:gridCol w:w="99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Consulting Agreement, dated as of October 26, 2020, by and between the CalciMedica, Inc. and Danforth Advisors, LLC.</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CalciMedica, Inc. 2023 Equity Incentive Plan, as amended.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333-288287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Forms of Option Grant Notice and Option Agreement under CalciMedica, Inc. 2023 Equity Incentive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Forms of Restricted Stock Unit Grant Notice and Unit Award Agreement under CalciMedica, Inc. 2023 Equity Incentive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CalciMedica, Inc. 2023 Employee Stock Purchase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CalciMedica, Inc. 2006 Stock Plan and Form of Stock Option Agreement thereunder.</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2020 Equity Incentive Plan and forms of award agreements.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21, 2020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2020 Employee Stock Purchase Plan and forms of award agreements.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21, 2020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Amendment to Stock Option Award Agreement, dated March 20, 2023, by and between Graybug Vision, Inc. and the Holder party thereto</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Amendment to Restricted Stock Unit Award Agreement, dated March 20, 2023, by and between Graybug Vision, Inc. and the Holder party thereto</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2015 Stock Incentive Plan, as amended, and forms of award agreements thereunder.</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Indemnification Agreement.</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Non-employee Director Compensation Policy, as amended.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Change in Control and Severance Policy.</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At the Market Offering Agreement, dated as of August 11, 2023, by and between CalciMedica, Inc. and H.C. Wainwright &amp; Co., LLC</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333-273949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
        <w:gridCol w:w="146"/>
        <w:gridCol w:w="4883"/>
        <w:gridCol w:w="146"/>
        <w:gridCol w:w="524"/>
        <w:gridCol w:w="146"/>
        <w:gridCol w:w="732"/>
        <w:gridCol w:w="146"/>
        <w:gridCol w:w="868"/>
        <w:gridCol w:w="146"/>
        <w:gridCol w:w="631"/>
        <w:gridCol w:w="146"/>
        <w:gridCol w:w="968"/>
      </w:tblGrid>
      <w:tr>
        <w:trPr/>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72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Loan and Security Agreement dated February 28, 2025, by and among CalciMedica, Inc., Avenue Capital Management II, L.P., and Avenue Venture Opportunities Fund II, L.P.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Supplement to the Loan and Security Agreement dated February 28, 2025, by and among CalciMedica, Inc., Avenue Capital Management II, L.P., and Avenue Venture Opportunities Fund II, L.P.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Warrant to Purchase Common Stock, dated as of May 17, 2024, issued by the Registrant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12,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CalciMedica, Inc. Insider Trading Policy, amended April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Consent of Independent Registered Public Accounting Firm - Baker Tilly LLP.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001-39538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March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10-K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March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001-39538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March 3, 2026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w:anchor="ck0001534133-ex31_3.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w:anchor="ck0001534133-ex31_4.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March 3, 2026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CalciMedica, Inc. Incentive Compensation Recoupment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43" w:type="dxa"/>
        <w:jc w:val="left"/>
        <w:tblInd w:w="0" w:type="dxa"/>
        <w:tblLayout w:type="fixed"/>
        <w:tblCellMar>
          <w:top w:w="28" w:type="dxa"/>
          <w:left w:w="28" w:type="dxa"/>
          <w:bottom w:w="28" w:type="dxa"/>
          <w:right w:w="28" w:type="dxa"/>
        </w:tblCellMar>
      </w:tblPr>
      <w:tblGrid>
        <w:gridCol w:w="856"/>
        <w:gridCol w:w="109"/>
        <w:gridCol w:w="7411"/>
        <w:gridCol w:w="109"/>
        <w:gridCol w:w="109"/>
        <w:gridCol w:w="109"/>
        <w:gridCol w:w="109"/>
        <w:gridCol w:w="109"/>
        <w:gridCol w:w="109"/>
        <w:gridCol w:w="109"/>
        <w:gridCol w:w="109"/>
        <w:gridCol w:w="109"/>
        <w:gridCol w:w="286"/>
      </w:tblGrid>
      <w:tr>
        <w:trPr/>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of the Exchange Act.</w:t>
      </w:r>
    </w:p>
    <w:p>
      <w:pPr>
        <w:pStyle w:val="TextBody"/>
        <w:bidi w:val="0"/>
        <w:jc w:val="both"/>
        <w:rPr>
          <w:rFonts w:ascii="Times New Roman" w:hAnsi="Times New Roman"/>
          <w:sz w:val="20"/>
        </w:rPr>
      </w:pPr>
      <w:r>
        <w:rPr>
          <w:rFonts w:ascii="Times New Roman" w:hAnsi="Times New Roman"/>
          <w:color w:val="000000"/>
          <w:sz w:val="20"/>
        </w:rPr>
        <w:t>+ Indicates management contract or compensatory plan.</w:t>
      </w:r>
      <w:r>
        <w:rPr>
          <w:rFonts w:ascii="Times New Roman" w:hAnsi="Times New Roman"/>
          <w:color w:val="0000FF"/>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Schedules have been omitted pursuant to Item 601(a)(5) of Regulation S-K.</w:t>
      </w:r>
    </w:p>
    <w:p>
      <w:pPr>
        <w:pStyle w:val="TextBody"/>
        <w:bidi w:val="0"/>
        <w:jc w:val="both"/>
        <w:rPr>
          <w:rFonts w:ascii="Times New Roman" w:hAnsi="Times New Roman"/>
          <w:color w:val="000000"/>
          <w:sz w:val="20"/>
        </w:rPr>
      </w:pPr>
      <w:r>
        <w:rPr>
          <w:rFonts w:ascii="Times New Roman" w:hAnsi="Times New Roman"/>
          <w:color w:val="000000"/>
          <w:sz w:val="20"/>
        </w:rPr>
        <w:t>^Portions of this exhibit (indicated by asterisks) have been omitted in accordance with Item 601(b)(10) of Regulation S-K under the Securities Act because they are both not material and are the type that the registrant treats as private or confidential. The registrant undertakes to furnish an unredacted copy of the exhibit to the U.S. Securities and Exchange Commission upon its request.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786"/>
        <w:gridCol w:w="109"/>
        <w:gridCol w:w="406"/>
        <w:gridCol w:w="39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CALCIMEDICA,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 Rachel Leheny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 Rachel Leheny, Ph.D.</w:t>
            </w:r>
            <w:r>
              <w:rPr>
                <w:rFonts w:ascii="Times New Roman" w:hAnsi="Times New Roman"/>
                <w:color w:val="000000"/>
                <w:sz w:val="20"/>
              </w:rPr>
              <w:t xml:space="preserve">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160"/>
        <w:jc w:val="left"/>
        <w:rPr/>
      </w:pPr>
      <w:bookmarkStart w:id="11" w:name="ck0001534133-ex31_3.htm"/>
      <w:bookmarkStart w:id="12" w:name="ksck0001534133ex31_3"/>
      <w:bookmarkEnd w:id="11"/>
      <w:bookmarkEnd w:id="1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31.3</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 Rachel Leheny,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Amendment No. 1 to the Annual Report on Form 10-K/A of CalciMedica, Inc.;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tbl>
      <w:tblPr>
        <w:tblW w:w="4788" w:type="dxa"/>
        <w:jc w:val="left"/>
        <w:tblInd w:w="0" w:type="dxa"/>
        <w:tblLayout w:type="fixed"/>
        <w:tblCellMar>
          <w:top w:w="28" w:type="dxa"/>
          <w:left w:w="28" w:type="dxa"/>
          <w:bottom w:w="28" w:type="dxa"/>
          <w:right w:w="28" w:type="dxa"/>
        </w:tblCellMar>
      </w:tblPr>
      <w:tblGrid>
        <w:gridCol w:w="1786"/>
        <w:gridCol w:w="406"/>
        <w:gridCol w:w="2596"/>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 Rachel Leheny</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Rachel Leheny, Ph.D.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bookmarkStart w:id="13" w:name="ck0001534133-ex31_4.htm"/>
      <w:bookmarkStart w:id="14" w:name="ksck0001534133ex31_4"/>
      <w:bookmarkEnd w:id="13"/>
      <w:bookmarkEnd w:id="1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Stephen Bardin,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Amendment No. 1 to the Annual Report on Form 10-K/A of CalciMedica, Inc.;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tbl>
      <w:tblPr>
        <w:tblW w:w="5898" w:type="dxa"/>
        <w:jc w:val="left"/>
        <w:tblInd w:w="0" w:type="dxa"/>
        <w:tblLayout w:type="fixed"/>
        <w:tblCellMar>
          <w:top w:w="28" w:type="dxa"/>
          <w:left w:w="28" w:type="dxa"/>
          <w:bottom w:w="28" w:type="dxa"/>
          <w:right w:w="28" w:type="dxa"/>
        </w:tblCellMar>
      </w:tblPr>
      <w:tblGrid>
        <w:gridCol w:w="1786"/>
        <w:gridCol w:w="406"/>
        <w:gridCol w:w="3706"/>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 and Principal</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Accounting Officer)</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4133/000119312523076714/d485425dex21.htm" TargetMode="External"/><Relationship Id="rId3" Type="http://schemas.openxmlformats.org/officeDocument/2006/relationships/hyperlink" Target="https://www.sec.gov/Archives/edgar/data/1534133/000119312523076714/d485425dex31.htm" TargetMode="External"/><Relationship Id="rId4" Type="http://schemas.openxmlformats.org/officeDocument/2006/relationships/hyperlink" Target="https://www.sec.gov/Archives/edgar/data/1534133/000119312523076714/d485425dex32.htm" TargetMode="External"/><Relationship Id="rId5" Type="http://schemas.openxmlformats.org/officeDocument/2006/relationships/hyperlink" Target="https://www.sec.gov/Archives/edgar/data/1534133/000156459020053539/gray-ex32_105.htm" TargetMode="External"/><Relationship Id="rId6" Type="http://schemas.openxmlformats.org/officeDocument/2006/relationships/hyperlink" Target="https://www.sec.gov/Archives/edgar/data/1534133/000119312523076714/d485425dex31.htm" TargetMode="External"/><Relationship Id="rId7" Type="http://schemas.openxmlformats.org/officeDocument/2006/relationships/hyperlink" Target="https://www.sec.gov/Archives/edgar/data/1534133/000119312523076714/d485425dex32.htm" TargetMode="External"/><Relationship Id="rId8" Type="http://schemas.openxmlformats.org/officeDocument/2006/relationships/hyperlink" Target="https://www.sec.gov/Archives/edgar/data/1534133/000156459020053539/gray-ex32_105.htm" TargetMode="External"/><Relationship Id="rId9" Type="http://schemas.openxmlformats.org/officeDocument/2006/relationships/hyperlink" Target="https://www.sec.gov/Archives/edgar/data/1534133/000095017024038064/calc-ex4_2.htm" TargetMode="External"/><Relationship Id="rId10" Type="http://schemas.openxmlformats.org/officeDocument/2006/relationships/hyperlink" Target="https://www.sec.gov/Archives/edgar/data/1534133/000119312520249556/d796801dex41.htm" TargetMode="External"/><Relationship Id="rId11" Type="http://schemas.openxmlformats.org/officeDocument/2006/relationships/hyperlink" Target="https://www.sec.gov/Archives/edgar/data/1534133/000119312523076714/d485425dex41.htm" TargetMode="External"/><Relationship Id="rId12" Type="http://schemas.openxmlformats.org/officeDocument/2006/relationships/hyperlink" Target="https://www.sec.gov/Archives/edgar/data/1534133/000119312524011738/d738337dex102.htm" TargetMode="External"/><Relationship Id="rId13" Type="http://schemas.openxmlformats.org/officeDocument/2006/relationships/hyperlink" Target="https://www.sec.gov/Archives/edgar/data/1534133/000119312520240042/d796801dex43.htm" TargetMode="External"/><Relationship Id="rId14" Type="http://schemas.openxmlformats.org/officeDocument/2006/relationships/hyperlink" Target="https://www.sec.gov/Archives/edgar/data/1534133/000119312523076714/d485425dex42.htm" TargetMode="External"/><Relationship Id="rId15" Type="http://schemas.openxmlformats.org/officeDocument/2006/relationships/hyperlink" Target="https://www.sec.gov/Archives/edgar/data/1534133/000119312523076714/d485425dex43.htm" TargetMode="External"/><Relationship Id="rId16" Type="http://schemas.openxmlformats.org/officeDocument/2006/relationships/hyperlink" Target="https://www.sec.gov/Archives/edgar/data/1534133/000119312523076714/d485425dex44.htm" TargetMode="External"/><Relationship Id="rId17" Type="http://schemas.openxmlformats.org/officeDocument/2006/relationships/hyperlink" Target="https://www.sec.gov/Archives/edgar/data/1534133/000119312523076714/d485425dex45.htm" TargetMode="External"/><Relationship Id="rId18" Type="http://schemas.openxmlformats.org/officeDocument/2006/relationships/hyperlink" Target="https://www.sec.gov/Archives/edgar/data/1534133/000119312523076714/d485425dex46.htm" TargetMode="External"/><Relationship Id="rId19" Type="http://schemas.openxmlformats.org/officeDocument/2006/relationships/hyperlink" Target="https://www.sec.gov/Archives/edgar/data/1534133/000119312523090982/d482049dex49.htm" TargetMode="External"/><Relationship Id="rId20" Type="http://schemas.openxmlformats.org/officeDocument/2006/relationships/hyperlink" Target="https://www.sec.gov/Archives/edgar/data/1534133/000119312524011738/d738337dex42.htm" TargetMode="External"/><Relationship Id="rId21" Type="http://schemas.openxmlformats.org/officeDocument/2006/relationships/hyperlink" Target="https://www.sec.gov/Archives/edgar/data/1534133/000119312524011738/d738337dex44.htm" TargetMode="External"/><Relationship Id="rId22" Type="http://schemas.openxmlformats.org/officeDocument/2006/relationships/hyperlink" Target="https://www.sec.gov/Archives/edgar/data/1534133/000119312525046225/d940326dex41.htm" TargetMode="External"/><Relationship Id="rId23" Type="http://schemas.openxmlformats.org/officeDocument/2006/relationships/hyperlink" Target="https://www.sec.gov/Archives/edgar/data/1534133/000119312525046225/d940326dex41.htm" TargetMode="External"/><Relationship Id="rId24" Type="http://schemas.openxmlformats.org/officeDocument/2006/relationships/hyperlink" Target="https://www.sec.gov/Archives/edgar/data/1534133/000119312523076714/d485425dex101.htm" TargetMode="External"/><Relationship Id="rId25" Type="http://schemas.openxmlformats.org/officeDocument/2006/relationships/hyperlink" Target="https://www.sec.gov/Archives/edgar/data/1534133/000119312523076714/d485425dex102.htm" TargetMode="External"/><Relationship Id="rId26" Type="http://schemas.openxmlformats.org/officeDocument/2006/relationships/hyperlink" Target="https://www.sec.gov/Archives/edgar/data/1534133/000095017025046035/ck0001534133-ex10_3.htm" TargetMode="External"/><Relationship Id="rId27" Type="http://schemas.openxmlformats.org/officeDocument/2006/relationships/hyperlink" Target="https://www.sec.gov/Archives/edgar/data/1534133/000095017025046035/ck0001534133-ex10_4.htm" TargetMode="External"/><Relationship Id="rId28" Type="http://schemas.openxmlformats.org/officeDocument/2006/relationships/hyperlink" Target="https://www.sec.gov/Archives/edgar/data/1534133/000095017025046035/ck0001534133-ex10_5.htm" TargetMode="External"/><Relationship Id="rId29" Type="http://schemas.openxmlformats.org/officeDocument/2006/relationships/hyperlink" Target="https://www.sec.gov/Archives/edgar/data/1534133/000095017025046035/ck0001534133-ex10_6.htm" TargetMode="External"/><Relationship Id="rId30" Type="http://schemas.openxmlformats.org/officeDocument/2006/relationships/hyperlink" Target="https://www.sec.gov/Archives/edgar/data/1534133/000119312523076714/d485425dex1011.htm" TargetMode="External"/><Relationship Id="rId31" Type="http://schemas.openxmlformats.org/officeDocument/2006/relationships/hyperlink" Target="https://www.sec.gov/Archives/edgar/data/1534133/000119312524207754/d884220dex101.htm" TargetMode="External"/><Relationship Id="rId32" Type="http://schemas.openxmlformats.org/officeDocument/2006/relationships/hyperlink" Target="https://www.sec.gov/Archives/edgar/data/1534133/000119312523076714/d485425dex107.htm" TargetMode="External"/><Relationship Id="rId33" Type="http://schemas.openxmlformats.org/officeDocument/2006/relationships/hyperlink" Target="https://www.sec.gov/Archives/edgar/data/1534133/000119312523076714/d485425dex108.htm" TargetMode="External"/><Relationship Id="rId34" Type="http://schemas.openxmlformats.org/officeDocument/2006/relationships/hyperlink" Target="https://www.sec.gov/Archives/edgar/data/1534133/000119312523076714/d485425dex109.htm" TargetMode="External"/><Relationship Id="rId35" Type="http://schemas.openxmlformats.org/officeDocument/2006/relationships/hyperlink" Target="https://www.sec.gov/Archives/edgar/data/1534133/000119312523076714/d485425dex1010.htm" TargetMode="External"/><Relationship Id="rId36" Type="http://schemas.openxmlformats.org/officeDocument/2006/relationships/hyperlink" Target="https://www.sec.gov/Archives/edgar/data/1534133/000119312520249556/d796801dex103.htm" TargetMode="External"/><Relationship Id="rId37" Type="http://schemas.openxmlformats.org/officeDocument/2006/relationships/hyperlink" Target="https://www.sec.gov/Archives/edgar/data/1534133/000119312520249556/d796801dex104.htm" TargetMode="External"/><Relationship Id="rId38" Type="http://schemas.openxmlformats.org/officeDocument/2006/relationships/hyperlink" Target="https://www.sec.gov/Archives/edgar/data/1534133/000119312523076714/d485425dex1012.htm" TargetMode="External"/><Relationship Id="rId39" Type="http://schemas.openxmlformats.org/officeDocument/2006/relationships/hyperlink" Target="https://www.sec.gov/Archives/edgar/data/1534133/000119312523076714/d485425dex1013.htm" TargetMode="External"/><Relationship Id="rId40" Type="http://schemas.openxmlformats.org/officeDocument/2006/relationships/hyperlink" Target="https://www.sec.gov/Archives/edgar/data/1534133/000119312520240042/d796801dex102.htm" TargetMode="External"/><Relationship Id="rId41" Type="http://schemas.openxmlformats.org/officeDocument/2006/relationships/hyperlink" Target="https://www.sec.gov/Archives/edgar/data/1534133/000119312520240042/d796801dex101.htm" TargetMode="External"/><Relationship Id="rId42" Type="http://schemas.openxmlformats.org/officeDocument/2006/relationships/hyperlink" Target="https://www.sec.gov/Archives/edgar/data/1534133/000095017025046035/ck0001534133-ex10_20.htm" TargetMode="External"/><Relationship Id="rId43" Type="http://schemas.openxmlformats.org/officeDocument/2006/relationships/hyperlink" Target="https://www.sec.gov/Archives/edgar/data/1534133/000119312520240042/d796801dex1011.htm" TargetMode="External"/><Relationship Id="rId44" Type="http://schemas.openxmlformats.org/officeDocument/2006/relationships/hyperlink" Target="https://www.sec.gov/Archives/edgar/data/1534133/000119312523210902/d516230dex12.htm" TargetMode="External"/><Relationship Id="rId45" Type="http://schemas.openxmlformats.org/officeDocument/2006/relationships/hyperlink" Target="https://www.sec.gov/Archives/edgar/data/1534133/000119312525046225/d940326dex101.htm" TargetMode="External"/><Relationship Id="rId46" Type="http://schemas.openxmlformats.org/officeDocument/2006/relationships/hyperlink" Target="https://www.sec.gov/Archives/edgar/data/1534133/000119312525046225/d940326dex102.htm" TargetMode="External"/><Relationship Id="rId47" Type="http://schemas.openxmlformats.org/officeDocument/2006/relationships/hyperlink" Target="https://www.sec.gov/Archives/edgar/data/1534133/000095017024095490/ck0001534133-ex4_16.htm" TargetMode="External"/><Relationship Id="rId48" Type="http://schemas.openxmlformats.org/officeDocument/2006/relationships/hyperlink" Target="https://www.sec.gov/Archives/edgar/data/1534133/000095017025046035/ck0001534133-ex19_1.htm" TargetMode="External"/><Relationship Id="rId49" Type="http://schemas.openxmlformats.org/officeDocument/2006/relationships/hyperlink" Target="https://www.sec.gov/Archives/edgar/data/1534133/000119312526088147/ck0001534133-ex23_1.htm" TargetMode="External"/><Relationship Id="rId50" Type="http://schemas.openxmlformats.org/officeDocument/2006/relationships/hyperlink" Target="https://www.sec.gov/Archives/edgar/data/1534133/000119312526088147/ck0001534133-ex31_1.htm" TargetMode="External"/><Relationship Id="rId51" Type="http://schemas.openxmlformats.org/officeDocument/2006/relationships/hyperlink" Target="https://www.sec.gov/Archives/edgar/data/1534133/000119312526088147/ck0001534133-ex31_2.htm" TargetMode="External"/><Relationship Id="rId52" Type="http://schemas.openxmlformats.org/officeDocument/2006/relationships/hyperlink" Target="https://www.sec.gov/Archives/edgar/data/1534133/000119312526088147/ck0001534133-ex32_1.htm" TargetMode="External"/><Relationship Id="rId53" Type="http://schemas.openxmlformats.org/officeDocument/2006/relationships/hyperlink" Target="https://www.sec.gov/Archives/edgar/data/1534133/000119312526088147/ck0001534133-ex32_2.htm" TargetMode="External"/><Relationship Id="rId54" Type="http://schemas.openxmlformats.org/officeDocument/2006/relationships/hyperlink" Target="https://www.sec.gov/Archives/edgar/data/1534133/000095017024038064/calc-ex97_1.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15548</Words>
  <Characters>83387</Characters>
  <CharactersWithSpaces>99015</CharactersWithSpaces>
  <Paragraphs>2776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