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CALCIMEDICA,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Private Equity Fund III,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195,976.00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195,976.00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195,976.00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Soleus Private Equity Fund III, L.P. ("Soleus PE"). Soleus Private Equity GP III, LLC ("Soleus PE GP") is the sole general partner of Soleus PE, Soleus PE GP III, LLC is the sole manager of Soleus PE GP, Soleus Capital Management, L.P. ("SCM") is the investment manager for Soleus PE and for Soleus Capital Master Fund, L.P. ("Master Fund"), and Soleus GP, LLC ("Soleus GP") is the sole general partner of SCM. Guy Levy is the sole managing member of each of Soleus PE GP III, LLC and Soleus GP. Each of Mr. Levy, Soleus PE GP III, LLC, Soleus PE GP, SCM and Soleus GP disclaims beneficial ownership of these shares held by Soleus PE other than for the purpose of determining their obligations under Section 13(d) of the Securities Exchange Act of 1934, as amended (the "Exchange Act"), and the filing of this report shall not be deemed an admission that any of the foregoing persons is the beneficial owner of such shares for any other purpose. (2) The number of shares reported in the table above consists of presently exercisable warrants to purchase up to 195,976 shares of the common stock ("Common Stock") of CalciMedica, Inc. (the "Issuer"). (3) The percentage set forth in row 11 is calculated based upon 15,743,916 shares of Common Stock outstanding as of February 25, 2026, as set forth on the cover of the Issuer's Annual Report on Form 10-K for the fiscal year ended December 31, 2025 that was filed with the Securities and Exchange Commission on March 3, 2026 (the "Form 10-K").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Private Equity GP III,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195,976.00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195,976.00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195,976.00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Soleus PE. Soleus PE GP is the sole general partner of Soleus PE, Soleus PE GP III, LLC is the sole manager of Soleus PE GP, SCM is the investment manager for Soleus PE and for Master Fund, and Soleus GP is the sole general partner of SCM. Guy Levy is the sole managing member of each of Soleus PE GP III, LLC and Soleus GP. Each of Mr. Levy, Soleus PE GP III, LLC, Soleus PE GP, SCM and Soleus GP disclaims beneficial ownership of these shares held by Soleus PE other than for the purpose of determining their obligations under Section 13(d) of the Exchange Act, and the filing of this report shall not be deemed an admission that any of the foregoing persons is the beneficial owner of such shares for any other purpose. (2) The number of shares reported in the table above consists of presently exercisable warrants to purchase up to 195,976 shares of Common Stock. (3) The percentage set forth in row 11 is calculated based upon 15,743,916 shares of Common Stock outstanding as of February 25, 2026, as set forth in the Form 10-K.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PE GP III,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195,976.00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195,976.00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195,976.00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Soleus PE. Soleus PE GP is the sole general partner of Soleus PE, Soleus PE GP III, LLC is the sole manager of Soleus PE GP, SCM is the investment manager for Soleus PE and for Master Fund, and Soleus GP is the sole general partner of SCM. Guy Levy is the sole managing member of each of Soleus PE GP III, LLC and Soleus GP. Each of Mr. Levy, Soleus PE GP III, LLC, Soleus PE GP, SCM and Soleus GP disclaims beneficial ownership of these shares held by Soleus PE other than for the purpose of determining their obligations under Section 13(d) of the Exchange Act, and the filing of this report shall not be deemed an admission that any of the foregoing persons is the beneficial owner of such shares for any other purpose. (2) The number of shares reported in the table above consists of presently exercisable warrants to purchase up to 195,976 shares of Common Stock. (3) The percentage set forth in row 11 is calculated based upon 15,743,916 shares of Common Stock outstanding as of February 25, 2026, as set forth in the Form 10-K.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Capital Master Fund,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195,976.00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195,976.00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195,976.00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Master Fund. Soleus Capital, LLC is the sole general partner of Master Fund, Soleus Capital Group, LLC ("SCG") is the sole managing member of Soleus Capital, LLC, SCM is the investment manager for Soleus PE and for Master Fund, and Soleus GP is the sole general partner of SCM. Guy Levy is the sole managing member of each of SCG and Soleus GP. Each of SCG, Soleus Capital, LLC, SCM, Soleus GP and Mr. Levy disclaims beneficial ownership of these shares held by Master Fund other than for the purpose of determining their obligations under Section 13(d) of the Exchange Act, and the filing of this report shall not be deemed an admission that any of the foregoing persons is the beneficial owner of such shares for any other purpose. (2),The number of shares reported in the table above consists of presently exercisable warrants to purchase up to 195,976 shares of Common Stock. (3) The percentage set forth in row 11 is calculated based upon 15,743,916 shares of Common Stock outstanding as of February 25, 2026, as set forth in the Form 10-K.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Capital,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195,976.00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195,976.00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195,976.00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Master Fund. Soleus Capital, LLC is the sole general partner of Master Fund, SCG is the sole managing member of Soleus Capital, LLC, SCM is the investment manager for Soleus PE and for Master Fund, and Soleus GP is the sole general partner of SCM. Guy Levy is the sole managing member of each of SCG and Soleus GP. Each of SCG, Soleus Capital, LLC, SCM, Soleus GP and Mr. Levy disclaims beneficial ownership of these shares held by Master Fund other than for the purpose of determining their obligations under Section 13(d) of the Exchange Act, and the filing of this report shall not be deemed an admission that any of the foregoing persons is the beneficial owner of such shares for any other purpose. (2) The number of shares reported in the table above consists of presently exercisable warrants to purchase up to 195,976 shares of Common Stock. (3) The percentage set forth in row 11 is calculated based upon 15,743,916 shares of Common Stock outstanding as of February 25, 2026, as set forth in the Form 10-K.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Capital Group,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195,976.00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195,976.00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195,976.00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Master Fund. Soleus Capital, LLC is the sole general partner of Master Fund, SCG is the sole managing member of Soleus Capital, LLC, SCM is the investment manager for Soleus PE and for Master Fund, and Soleus GP is the sole general partner of SCM. Guy Levy is the sole managing member of each of SCG and Soleus GP. Each of SCG, Soleus Capital, LLC, SCM, Soleus GP and Mr. Levy disclaims beneficial ownership of these shares held by Master Fund other than for the purpose of determining their obligations under Section 13(d) of the Exchange Act, and the filing of this report shall not be deemed an admission that any of the foregoing persons is the beneficial owner of such shares for any other purpose. (2) The number of shares reported in the table above consists of presently exercisable warrants to purchase up to 195,976 shares of Common Stock. (3) The percentage set forth in row 11 is calculated based upon 15,743,916 shares of Common Stock outstanding as of February 25, 2026, as set forth in the Form 10-K.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Capital Management,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391,952.00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391,952.00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391,952.00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2.4 %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Soleus PE and by Master Fund. Soleus PE GP is the sole general partner of Soleus PE, Soleus PE GP III, LLC is the sole manager of Soleus PE GP, SCM is the investment manager for Soleus PE, and Soleus GP is the sole general partner of SCM. Soleus Capital, LLC is the sole general partner of Master Fund, SCG is the sole managing member of Soleus Capital, LLC, SCM is the investment manager for Master Fund, and Soleus GP is the sole general partner of SCM. Guy Levy is the sole managing member of each of Soleus PE GP III, LLC, SCG and Soleus GP. Each of Soleus PE GP, Soleus PE GP III, LLC, Soleus Capital, LLC, SCG, SCM, Soleus GP and Mr. Levy disclaims beneficial ownership of these shares held directly by Soleus PE and Master Fund other than for the purpose of determining their obligations under Section 13(d) of the Exchange Act, and the filing of this report shall not be deemed an admission that any of the foregoing persons is the beneficial owner of such shares for any other purpose. (2) The number of shares reported in the table above consists of presently exercisable warrants to purchase up to 391,952 shares of Common Stock. (3) The percentage set forth in row 11 is calculated based upon 15,743,916 shares of Common Stock outstanding as of February 25, 2026, as set forth in the Form 10-K.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391,952.00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391,952.00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391,952.00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2.4 %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Soleus PE and by Master Fund. Soleus PE GP is the sole general partner of Soleus PE, Soleus PE GP III, LLC is the sole manager of Soleus PE GP, SCM is the investment manager for Soleus PE, and Soleus GP is the sole general partner of SCM. Soleus Capital, LLC is the sole general partner of Master Fund, SCG is the sole managing member of Soleus Capital, LLC, SCM is the investment manager for Master Fund, and Soleus GP is the sole general partner of SCM. Guy Levy is the sole managing member of each of Soleus PE GP III, LLC, SCG and Soleus GP. Each of Soleus PE GP, Soleus PE GP III, LLC, Soleus Capital, LLC, SCG, SCM, Soleus GP and Mr. Levy disclaims beneficial ownership of these shares held directly by Soleus PE and Master Fund other than for the purpose of determining their obligations under Section 13(d) of the Exchange Act, and the filing of this report shall not be deemed an admission that any of the foregoing persons is the beneficial owner of such shares for any other purpose. (2) The number of shares reported in the table above consists of presently exercisable warrants to purchase up to 391,952 shares of Common Stock. (3) The percentage set forth in row 11 is calculated based upon 15,743,916 shares of Common Stock outstanding as of February 25, 2026, as set forth in the Form 10-K.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Guy Levy</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391,952.00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391,952.00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391,952.00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2.4 %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Soleus PE and by Master Fund. Soleus PE GP is the sole general partner of Soleus PE, Soleus PE GP III, LLC is the sole manager of Soleus PE GP, SCM is the investment manager for Soleus PE, and Soleus GP is the sole general partner of SCM. Soleus Capital, LLC is the sole general partner of Master Fund, SCG is the sole managing member of Soleus Capital, LLC, SCM is the investment manager for Master Fund, and Soleus GP is the sole general partner of SCM. Guy Levy is the sole managing member of each of Soleus PE GP III, LLC, SCG and Soleus GP. Each of Soleus PE GP, Soleus PE GP III, LLC, Soleus Capital, LLC, SCG, SCM, Soleus GP and Mr. Levy disclaims beneficial ownership of these shares held directly by Soleus PE and Master Fund other than for the purpose of determining their obligations under Section 13(d) of the Exchange Act, and the filing of this report shall not be deemed an admission that any of the foregoing persons is the beneficial owner of such shares for any other purpose. (2) The number of shares reported in the table above consists of presently exercisable warrants to purchase up to 391,952 shares of Common Stock. (3) The percentage set forth in row 11 is calculated based upon 15,743,916 shares of Common Stock outstanding as of February 25, 2026, as set forth in the Form 10-K.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item1to9"/>
      <w:bookmarkStart w:id="43" w:name="item1to9"/>
      <w:bookmarkEnd w:id="43"/>
    </w:p>
    <w:tbl>
      <w:tblPr>
        <w:tblW w:w="10205" w:type="dxa"/>
        <w:jc w:val="left"/>
        <w:tblInd w:w="0" w:type="dxa"/>
        <w:tblLayout w:type="fixed"/>
        <w:tblCellMar>
          <w:top w:w="28" w:type="dxa"/>
          <w:left w:w="28" w:type="dxa"/>
          <w:bottom w:w="28" w:type="dxa"/>
          <w:right w:w="28" w:type="dxa"/>
        </w:tblCellMar>
      </w:tblPr>
      <w:tblGrid>
        <w:gridCol w:w="1128"/>
        <w:gridCol w:w="9077"/>
      </w:tblGrid>
      <w:tr>
        <w:trPr/>
        <w:tc>
          <w:tcPr>
            <w:tcW w:w="1128" w:type="dxa"/>
            <w:tcBorders/>
            <w:vAlign w:val="center"/>
          </w:tcPr>
          <w:p>
            <w:pPr>
              <w:pStyle w:val="TableContents"/>
              <w:bidi w:val="0"/>
              <w:spacing w:before="0" w:after="283"/>
              <w:jc w:val="left"/>
              <w:rPr/>
            </w:pPr>
            <w:r>
              <w:rPr/>
              <w:t>Item 1.</w:t>
            </w:r>
          </w:p>
        </w:tc>
        <w:tc>
          <w:tcPr>
            <w:tcW w:w="9077" w:type="dxa"/>
            <w:tcBorders/>
            <w:vAlign w:val="center"/>
          </w:tcPr>
          <w:p>
            <w:pPr>
              <w:pStyle w:val="TableContents"/>
              <w:bidi w:val="0"/>
              <w:spacing w:before="0" w:after="283"/>
              <w:jc w:val="left"/>
              <w:rPr/>
            </w:pPr>
            <w:r>
              <w:rPr/>
              <w:t> </w:t>
            </w:r>
          </w:p>
        </w:tc>
      </w:tr>
      <w:tr>
        <w:trPr/>
        <w:tc>
          <w:tcPr>
            <w:tcW w:w="1128" w:type="dxa"/>
            <w:tcBorders/>
            <w:vAlign w:val="center"/>
          </w:tcPr>
          <w:p>
            <w:pPr>
              <w:pStyle w:val="TableContents"/>
              <w:bidi w:val="0"/>
              <w:spacing w:before="0" w:after="283"/>
              <w:jc w:val="left"/>
              <w:rPr/>
            </w:pPr>
            <w:r>
              <w:rPr/>
              <w:t>(a)</w:t>
            </w:r>
          </w:p>
        </w:tc>
        <w:tc>
          <w:tcPr>
            <w:tcW w:w="9077" w:type="dxa"/>
            <w:tcBorders/>
            <w:vAlign w:val="center"/>
          </w:tcPr>
          <w:p>
            <w:pPr>
              <w:pStyle w:val="TableContents"/>
              <w:bidi w:val="0"/>
              <w:jc w:val="left"/>
              <w:rPr/>
            </w:pPr>
            <w:r>
              <w:rPr/>
              <w:t xml:space="preserve">Name of issuer: </w:t>
            </w:r>
          </w:p>
          <w:p>
            <w:pPr>
              <w:pStyle w:val="TableContents"/>
              <w:bidi w:val="0"/>
              <w:spacing w:before="0" w:after="0"/>
              <w:jc w:val="left"/>
              <w:rPr/>
            </w:pPr>
            <w:r>
              <w:rPr/>
              <w:t>CALCIMEDICA, INC.</w:t>
            </w:r>
          </w:p>
        </w:tc>
      </w:tr>
      <w:tr>
        <w:trPr/>
        <w:tc>
          <w:tcPr>
            <w:tcW w:w="1128" w:type="dxa"/>
            <w:tcBorders/>
            <w:vAlign w:val="center"/>
          </w:tcPr>
          <w:p>
            <w:pPr>
              <w:pStyle w:val="TableContents"/>
              <w:bidi w:val="0"/>
              <w:spacing w:before="0" w:after="283"/>
              <w:jc w:val="left"/>
              <w:rPr/>
            </w:pPr>
            <w:r>
              <w:rPr/>
              <w:t>(b)</w:t>
            </w:r>
          </w:p>
        </w:tc>
        <w:tc>
          <w:tcPr>
            <w:tcW w:w="907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505 Coast Boulevard South, Suite 307, La Jolla, CA 92037</w:t>
            </w:r>
          </w:p>
        </w:tc>
      </w:tr>
      <w:tr>
        <w:trPr/>
        <w:tc>
          <w:tcPr>
            <w:tcW w:w="1128" w:type="dxa"/>
            <w:tcBorders/>
            <w:vAlign w:val="center"/>
          </w:tcPr>
          <w:p>
            <w:pPr>
              <w:pStyle w:val="TableContents"/>
              <w:bidi w:val="0"/>
              <w:spacing w:before="0" w:after="283"/>
              <w:jc w:val="left"/>
              <w:rPr/>
            </w:pPr>
            <w:r>
              <w:rPr/>
              <w:t>Item 2.</w:t>
            </w:r>
          </w:p>
        </w:tc>
        <w:tc>
          <w:tcPr>
            <w:tcW w:w="9077" w:type="dxa"/>
            <w:tcBorders/>
            <w:vAlign w:val="center"/>
          </w:tcPr>
          <w:p>
            <w:pPr>
              <w:pStyle w:val="TableContents"/>
              <w:bidi w:val="0"/>
              <w:spacing w:before="0" w:after="283"/>
              <w:jc w:val="left"/>
              <w:rPr/>
            </w:pPr>
            <w:r>
              <w:rPr/>
              <w:t> </w:t>
            </w:r>
          </w:p>
        </w:tc>
      </w:tr>
      <w:tr>
        <w:trPr/>
        <w:tc>
          <w:tcPr>
            <w:tcW w:w="1128" w:type="dxa"/>
            <w:tcBorders/>
            <w:vAlign w:val="center"/>
          </w:tcPr>
          <w:p>
            <w:pPr>
              <w:pStyle w:val="TableContents"/>
              <w:bidi w:val="0"/>
              <w:spacing w:before="0" w:after="283"/>
              <w:jc w:val="left"/>
              <w:rPr/>
            </w:pPr>
            <w:r>
              <w:rPr/>
              <w:t>(a)</w:t>
            </w:r>
          </w:p>
        </w:tc>
        <w:tc>
          <w:tcPr>
            <w:tcW w:w="9077" w:type="dxa"/>
            <w:tcBorders/>
            <w:vAlign w:val="center"/>
          </w:tcPr>
          <w:p>
            <w:pPr>
              <w:pStyle w:val="TableContents"/>
              <w:bidi w:val="0"/>
              <w:jc w:val="left"/>
              <w:rPr/>
            </w:pPr>
            <w:r>
              <w:rPr/>
              <w:t xml:space="preserve">Name of person filing: </w:t>
            </w:r>
          </w:p>
          <w:p>
            <w:pPr>
              <w:pStyle w:val="TableContents"/>
              <w:bidi w:val="0"/>
              <w:spacing w:before="0" w:after="0"/>
              <w:jc w:val="left"/>
              <w:rPr/>
            </w:pPr>
            <w:r>
              <w:rPr/>
              <w:t>Soleus Private Equity GP III, LLC Soleus Private Equity Fund III, L.P. Soleus PE GP III, LLC Soleus Capital Master Fund, L.P. Soleus Capital, LLC Soleus Capital Group, LLC Soleus Capital Management, L.P. Soleus GP, LLC Guy Levy</w:t>
            </w:r>
          </w:p>
        </w:tc>
      </w:tr>
      <w:tr>
        <w:trPr/>
        <w:tc>
          <w:tcPr>
            <w:tcW w:w="1128" w:type="dxa"/>
            <w:tcBorders/>
            <w:vAlign w:val="center"/>
          </w:tcPr>
          <w:p>
            <w:pPr>
              <w:pStyle w:val="TableContents"/>
              <w:bidi w:val="0"/>
              <w:spacing w:before="0" w:after="283"/>
              <w:jc w:val="left"/>
              <w:rPr/>
            </w:pPr>
            <w:r>
              <w:rPr/>
              <w:t>(b)</w:t>
            </w:r>
          </w:p>
        </w:tc>
        <w:tc>
          <w:tcPr>
            <w:tcW w:w="907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Soleus Private Equity GP III, LLC, 100 Field Point Road, Suite 200, Greenwich, CT 06830 Soleus Private Equity Fund III, L.P., 100 Field Point Road, Suite 200, Greenwich, CT 06830 Soleus PE GP III, LLC, 100 Field Point Road, Suite 200, Greenwich, CT 06830 Soleus Capital Master Fund, L.P., 100 Field Point Road, Suite 200, Greenwich, CT 06830 Soleus Capital, LLC, 100 Field Point Road, Suite 200, Greenwich, CT 06830 Soleus Capital Group, LLC, 100 Field Point Road, Suite 200, Greenwich, CT 06830 Soleus Capital Management, L.P., 100 Field Point Road, Suite 200, Greenwich, CT 06830 Soleus GP, LLC, 100 Field Point Road, Suite 200, Greenwich, CT 06830 Guy Levy, c/o Soleus Capital Management, L.P. 100 Field Point Road, Suite 200, Greenwich, CT 06830</w:t>
            </w:r>
          </w:p>
        </w:tc>
      </w:tr>
      <w:tr>
        <w:trPr/>
        <w:tc>
          <w:tcPr>
            <w:tcW w:w="1128" w:type="dxa"/>
            <w:tcBorders/>
            <w:vAlign w:val="center"/>
          </w:tcPr>
          <w:p>
            <w:pPr>
              <w:pStyle w:val="TableContents"/>
              <w:bidi w:val="0"/>
              <w:spacing w:before="0" w:after="283"/>
              <w:jc w:val="left"/>
              <w:rPr/>
            </w:pPr>
            <w:r>
              <w:rPr/>
              <w:t>(c)</w:t>
            </w:r>
          </w:p>
        </w:tc>
        <w:tc>
          <w:tcPr>
            <w:tcW w:w="9077" w:type="dxa"/>
            <w:tcBorders/>
            <w:vAlign w:val="center"/>
          </w:tcPr>
          <w:p>
            <w:pPr>
              <w:pStyle w:val="TableContents"/>
              <w:bidi w:val="0"/>
              <w:jc w:val="left"/>
              <w:rPr/>
            </w:pPr>
            <w:r>
              <w:rPr/>
              <w:t xml:space="preserve">Citizenship: </w:t>
            </w:r>
          </w:p>
          <w:p>
            <w:pPr>
              <w:pStyle w:val="TableContents"/>
              <w:bidi w:val="0"/>
              <w:spacing w:before="0" w:after="0"/>
              <w:jc w:val="left"/>
              <w:rPr/>
            </w:pPr>
            <w:r>
              <w:rPr/>
              <w:t>Soleus Private Equity GP III, LLC - Delaware Soleus Private Equity Fund III, L.P. - Delaware Soleus PE GP III, LLC - Delaware Soleus Capital Master Fund, L.P. - Cayman Islands Soleus Capital, LLC - Delaware Soleus Capital Group, LLC - Delaware Soleus Capital Management, L.P. - Delaware Soleus GP, LLC - Delaware Guy Levy - United States</w:t>
            </w:r>
          </w:p>
        </w:tc>
      </w:tr>
      <w:tr>
        <w:trPr/>
        <w:tc>
          <w:tcPr>
            <w:tcW w:w="1128" w:type="dxa"/>
            <w:tcBorders/>
            <w:vAlign w:val="center"/>
          </w:tcPr>
          <w:p>
            <w:pPr>
              <w:pStyle w:val="TableContents"/>
              <w:bidi w:val="0"/>
              <w:spacing w:before="0" w:after="283"/>
              <w:jc w:val="left"/>
              <w:rPr/>
            </w:pPr>
            <w:r>
              <w:rPr/>
              <w:t>(d)</w:t>
            </w:r>
          </w:p>
        </w:tc>
        <w:tc>
          <w:tcPr>
            <w:tcW w:w="907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r>
      <w:tr>
        <w:trPr/>
        <w:tc>
          <w:tcPr>
            <w:tcW w:w="1128" w:type="dxa"/>
            <w:tcBorders/>
            <w:vAlign w:val="center"/>
          </w:tcPr>
          <w:p>
            <w:pPr>
              <w:pStyle w:val="TableContents"/>
              <w:bidi w:val="0"/>
              <w:spacing w:before="0" w:after="283"/>
              <w:jc w:val="left"/>
              <w:rPr/>
            </w:pPr>
            <w:r>
              <w:rPr/>
              <w:t>(e)</w:t>
            </w:r>
          </w:p>
        </w:tc>
        <w:tc>
          <w:tcPr>
            <w:tcW w:w="9077" w:type="dxa"/>
            <w:tcBorders/>
            <w:vAlign w:val="center"/>
          </w:tcPr>
          <w:p>
            <w:pPr>
              <w:pStyle w:val="TableContents"/>
              <w:bidi w:val="0"/>
              <w:spacing w:before="0" w:after="283"/>
              <w:jc w:val="left"/>
              <w:rPr/>
            </w:pPr>
            <w:r>
              <w:rPr/>
              <w:t xml:space="preserve">CUSIP No.: </w:t>
            </w:r>
          </w:p>
        </w:tc>
      </w:tr>
      <w:tr>
        <w:trPr/>
        <w:tc>
          <w:tcPr>
            <w:tcW w:w="1128" w:type="dxa"/>
            <w:tcBorders/>
            <w:vAlign w:val="center"/>
          </w:tcPr>
          <w:p>
            <w:pPr>
              <w:pStyle w:val="TableContents"/>
              <w:bidi w:val="0"/>
              <w:spacing w:before="0" w:after="283"/>
              <w:jc w:val="left"/>
              <w:rPr/>
            </w:pPr>
            <w:r>
              <w:rPr/>
              <w:t>Item 4.</w:t>
            </w:r>
          </w:p>
        </w:tc>
        <w:tc>
          <w:tcPr>
            <w:tcW w:w="9077" w:type="dxa"/>
            <w:tcBorders/>
            <w:vAlign w:val="center"/>
          </w:tcPr>
          <w:p>
            <w:pPr>
              <w:pStyle w:val="TableContents"/>
              <w:bidi w:val="0"/>
              <w:spacing w:before="0" w:after="283"/>
              <w:jc w:val="left"/>
              <w:rPr/>
            </w:pPr>
            <w:r>
              <w:rPr/>
              <w:t>Ownership</w:t>
            </w:r>
          </w:p>
        </w:tc>
      </w:tr>
      <w:tr>
        <w:trPr/>
        <w:tc>
          <w:tcPr>
            <w:tcW w:w="1128" w:type="dxa"/>
            <w:tcBorders/>
            <w:vAlign w:val="center"/>
          </w:tcPr>
          <w:p>
            <w:pPr>
              <w:pStyle w:val="TableContents"/>
              <w:bidi w:val="0"/>
              <w:spacing w:before="0" w:after="283"/>
              <w:jc w:val="left"/>
              <w:rPr/>
            </w:pPr>
            <w:r>
              <w:rPr/>
              <w:t>(a)</w:t>
            </w:r>
          </w:p>
        </w:tc>
        <w:tc>
          <w:tcPr>
            <w:tcW w:w="907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in rows 5 through 9 and 11 on the cover pages to this Schedule 13G, including the footnotes thereto, is hereby incorporated by reference. Soleus Private Equity GP III, LLC - 195,976 Soleus Private Equity Fund III, L.P. - 195,976 Soleus PE GP III, LLC - 195,976 Soleus Capital Master Fund, L.P. - 195,976 Soleus Capital, LLC - 195,976 Soleus Capital Group, LLC - 195,976 Soleus Capital Management, L.P. - 391,952 Soleus GP, LLC - 391,952 Guy Levy - 391,952</w:t>
            </w:r>
          </w:p>
        </w:tc>
      </w:tr>
      <w:tr>
        <w:trPr/>
        <w:tc>
          <w:tcPr>
            <w:tcW w:w="1128" w:type="dxa"/>
            <w:tcBorders/>
            <w:vAlign w:val="center"/>
          </w:tcPr>
          <w:p>
            <w:pPr>
              <w:pStyle w:val="TableContents"/>
              <w:bidi w:val="0"/>
              <w:spacing w:before="0" w:after="283"/>
              <w:jc w:val="left"/>
              <w:rPr/>
            </w:pPr>
            <w:r>
              <w:rPr/>
              <w:t>(b)</w:t>
            </w:r>
          </w:p>
        </w:tc>
        <w:tc>
          <w:tcPr>
            <w:tcW w:w="907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Soleus Private Equity GP III, LLC - 1.2% Soleus Private Equity Fund III, L.P. - 1.2% Soleus PE GP III, LLC - 1.2% Soleus Capital Master Fund, L.P. - 1.2% Soleus Capital, LLC - 1.2% Soleus Capital Group, LLC - 1.2% Soleus Capital Management, L.P. - 2.4% Soleus GP, LLC - 2.4% Guy Levy - 2.4%  % </w:t>
            </w:r>
          </w:p>
        </w:tc>
      </w:tr>
      <w:tr>
        <w:trPr/>
        <w:tc>
          <w:tcPr>
            <w:tcW w:w="1128" w:type="dxa"/>
            <w:tcBorders/>
            <w:vAlign w:val="center"/>
          </w:tcPr>
          <w:p>
            <w:pPr>
              <w:pStyle w:val="TableContents"/>
              <w:bidi w:val="0"/>
              <w:spacing w:before="0" w:after="283"/>
              <w:jc w:val="left"/>
              <w:rPr/>
            </w:pPr>
            <w:r>
              <w:rPr/>
              <w:t>(c)</w:t>
            </w:r>
          </w:p>
        </w:tc>
        <w:tc>
          <w:tcPr>
            <w:tcW w:w="9077" w:type="dxa"/>
            <w:tcBorders/>
            <w:vAlign w:val="center"/>
          </w:tcPr>
          <w:p>
            <w:pPr>
              <w:pStyle w:val="TableContents"/>
              <w:bidi w:val="0"/>
              <w:spacing w:before="0" w:after="283"/>
              <w:jc w:val="left"/>
              <w:rPr/>
            </w:pPr>
            <w:r>
              <w:rPr/>
              <w:t xml:space="preserve">Number of shares as to which the person has: </w:t>
            </w:r>
          </w:p>
        </w:tc>
      </w:tr>
      <w:tr>
        <w:trPr/>
        <w:tc>
          <w:tcPr>
            <w:tcW w:w="1128"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28"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Soleus Private Equity GP III, LLC - 195,976 Soleus Private Equity Fund III, L.P. - 195,976 Soleus PE GP III, LLC - 195,976 Soleus Capital Master Fund, L.P. - 195,976 Soleus Capital, LLC - 195,976 Soleus Capital Group, LLC - 195,976 Soleus Capital Management, L.P. - 391,952 Soleus GP, LLC - 391,952 Guy Levy - 391,952</w:t>
            </w:r>
          </w:p>
          <w:p>
            <w:pPr>
              <w:pStyle w:val="TableContents"/>
              <w:bidi w:val="0"/>
              <w:spacing w:before="0" w:after="0"/>
              <w:jc w:val="left"/>
              <w:rPr/>
            </w:pPr>
            <w:r>
              <w:rPr/>
            </w:r>
          </w:p>
        </w:tc>
      </w:tr>
      <w:tr>
        <w:trPr/>
        <w:tc>
          <w:tcPr>
            <w:tcW w:w="1128"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28"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Soleus Private Equity GP III, LLC - 195,976 Soleus Private Equity Fund III, L.P. - 195,976 Soleus PE GP III, LLC - 195,976 Soleus Capital Master Fund, L.P. - 195,976 Soleus Capital, LLC - 195,976 Soleus Capital Group, LLC - 195,976 Soleus Capital Management, L.P. - 391,952 Soleus GP, LLC - 391,952 Guy Levy - 391,952</w:t>
            </w:r>
          </w:p>
          <w:p>
            <w:pPr>
              <w:pStyle w:val="TableContents"/>
              <w:bidi w:val="0"/>
              <w:spacing w:before="0" w:after="0"/>
              <w:jc w:val="left"/>
              <w:rPr/>
            </w:pPr>
            <w:r>
              <w:rPr/>
            </w:r>
          </w:p>
        </w:tc>
      </w:tr>
      <w:tr>
        <w:trPr/>
        <w:tc>
          <w:tcPr>
            <w:tcW w:w="1128" w:type="dxa"/>
            <w:tcBorders/>
            <w:vAlign w:val="center"/>
          </w:tcPr>
          <w:p>
            <w:pPr>
              <w:pStyle w:val="TableContents"/>
              <w:bidi w:val="0"/>
              <w:spacing w:before="0" w:after="283"/>
              <w:jc w:val="left"/>
              <w:rPr/>
            </w:pPr>
            <w:r>
              <w:rPr/>
              <w:t>Item 5.</w:t>
            </w:r>
          </w:p>
        </w:tc>
        <w:tc>
          <w:tcPr>
            <w:tcW w:w="9077" w:type="dxa"/>
            <w:tcBorders/>
            <w:vAlign w:val="center"/>
          </w:tcPr>
          <w:p>
            <w:pPr>
              <w:pStyle w:val="TableContents"/>
              <w:bidi w:val="0"/>
              <w:spacing w:before="0" w:after="283"/>
              <w:jc w:val="left"/>
              <w:rPr/>
            </w:pPr>
            <w:r>
              <w:rPr/>
              <w:t>Ownership of 5 Percent or Less of a Class.</w:t>
            </w:r>
          </w:p>
        </w:tc>
      </w:tr>
      <w:tr>
        <w:trPr/>
        <w:tc>
          <w:tcPr>
            <w:tcW w:w="1128"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128" w:type="dxa"/>
            <w:tcBorders/>
            <w:vAlign w:val="center"/>
          </w:tcPr>
          <w:p>
            <w:pPr>
              <w:pStyle w:val="TableContents"/>
              <w:bidi w:val="0"/>
              <w:spacing w:before="0" w:after="283"/>
              <w:jc w:val="left"/>
              <w:rPr/>
            </w:pPr>
            <w:r>
              <w:rPr/>
              <w:t>Item 6.</w:t>
            </w:r>
          </w:p>
        </w:tc>
        <w:tc>
          <w:tcPr>
            <w:tcW w:w="9077" w:type="dxa"/>
            <w:tcBorders/>
            <w:vAlign w:val="center"/>
          </w:tcPr>
          <w:p>
            <w:pPr>
              <w:pStyle w:val="TableContents"/>
              <w:bidi w:val="0"/>
              <w:spacing w:before="0" w:after="283"/>
              <w:jc w:val="left"/>
              <w:rPr/>
            </w:pPr>
            <w:r>
              <w:rPr/>
              <w:t>Ownership of more than 5 Percent on Behalf of Another Person.</w:t>
            </w:r>
          </w:p>
        </w:tc>
      </w:tr>
      <w:tr>
        <w:trPr/>
        <w:tc>
          <w:tcPr>
            <w:tcW w:w="1128"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spacing w:before="0" w:after="0"/>
              <w:jc w:val="left"/>
              <w:rPr/>
            </w:pPr>
            <w:r>
              <w:rPr/>
              <w:t xml:space="preserve">Not Applicable </w:t>
            </w:r>
          </w:p>
        </w:tc>
      </w:tr>
      <w:tr>
        <w:trPr/>
        <w:tc>
          <w:tcPr>
            <w:tcW w:w="1128" w:type="dxa"/>
            <w:tcBorders/>
            <w:vAlign w:val="center"/>
          </w:tcPr>
          <w:p>
            <w:pPr>
              <w:pStyle w:val="TableContents"/>
              <w:bidi w:val="0"/>
              <w:spacing w:before="0" w:after="283"/>
              <w:jc w:val="left"/>
              <w:rPr/>
            </w:pPr>
            <w:r>
              <w:rPr/>
              <w:t>Item 7.</w:t>
            </w:r>
          </w:p>
        </w:tc>
        <w:tc>
          <w:tcPr>
            <w:tcW w:w="907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28"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spacing w:before="0" w:after="0"/>
              <w:jc w:val="left"/>
              <w:rPr/>
            </w:pPr>
            <w:r>
              <w:rPr/>
              <w:t xml:space="preserve">Not Applicable </w:t>
            </w:r>
          </w:p>
        </w:tc>
      </w:tr>
      <w:tr>
        <w:trPr/>
        <w:tc>
          <w:tcPr>
            <w:tcW w:w="1128" w:type="dxa"/>
            <w:tcBorders/>
            <w:vAlign w:val="center"/>
          </w:tcPr>
          <w:p>
            <w:pPr>
              <w:pStyle w:val="TableContents"/>
              <w:bidi w:val="0"/>
              <w:spacing w:before="0" w:after="283"/>
              <w:jc w:val="left"/>
              <w:rPr/>
            </w:pPr>
            <w:r>
              <w:rPr/>
              <w:t>Item 8.</w:t>
            </w:r>
          </w:p>
        </w:tc>
        <w:tc>
          <w:tcPr>
            <w:tcW w:w="9077" w:type="dxa"/>
            <w:tcBorders/>
            <w:vAlign w:val="center"/>
          </w:tcPr>
          <w:p>
            <w:pPr>
              <w:pStyle w:val="TableContents"/>
              <w:bidi w:val="0"/>
              <w:spacing w:before="0" w:after="283"/>
              <w:jc w:val="left"/>
              <w:rPr/>
            </w:pPr>
            <w:r>
              <w:rPr/>
              <w:t>Identification and Classification of Members of the Group.</w:t>
            </w:r>
          </w:p>
        </w:tc>
      </w:tr>
      <w:tr>
        <w:trPr/>
        <w:tc>
          <w:tcPr>
            <w:tcW w:w="1128"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spacing w:before="0" w:after="0"/>
              <w:jc w:val="left"/>
              <w:rPr/>
            </w:pPr>
            <w:r>
              <w:rPr/>
              <w:t xml:space="preserve">Not Applicable </w:t>
            </w:r>
          </w:p>
        </w:tc>
      </w:tr>
      <w:tr>
        <w:trPr/>
        <w:tc>
          <w:tcPr>
            <w:tcW w:w="1128" w:type="dxa"/>
            <w:tcBorders/>
            <w:vAlign w:val="center"/>
          </w:tcPr>
          <w:p>
            <w:pPr>
              <w:pStyle w:val="TableContents"/>
              <w:bidi w:val="0"/>
              <w:spacing w:before="0" w:after="283"/>
              <w:jc w:val="left"/>
              <w:rPr/>
            </w:pPr>
            <w:r>
              <w:rPr/>
              <w:t>Item 9.</w:t>
            </w:r>
          </w:p>
        </w:tc>
        <w:tc>
          <w:tcPr>
            <w:tcW w:w="9077" w:type="dxa"/>
            <w:tcBorders/>
            <w:vAlign w:val="center"/>
          </w:tcPr>
          <w:p>
            <w:pPr>
              <w:pStyle w:val="TableContents"/>
              <w:bidi w:val="0"/>
              <w:spacing w:before="0" w:after="283"/>
              <w:jc w:val="left"/>
              <w:rPr/>
            </w:pPr>
            <w:r>
              <w:rPr/>
              <w:t>Notice of Dissolution of Group.</w:t>
            </w:r>
          </w:p>
        </w:tc>
      </w:tr>
      <w:tr>
        <w:trPr/>
        <w:tc>
          <w:tcPr>
            <w:tcW w:w="1128"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certifications"/>
      <w:bookmarkStart w:id="45" w:name="certifications"/>
      <w:bookmarkEnd w:id="4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6" w:name="signatureInfo"/>
      <w:bookmarkStart w:id="47" w:name="signatureInfo"/>
      <w:bookmarkEnd w:id="4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356" w:type="dxa"/>
        <w:jc w:val="left"/>
        <w:tblInd w:w="0" w:type="dxa"/>
        <w:tblLayout w:type="fixed"/>
        <w:tblCellMar>
          <w:top w:w="28" w:type="dxa"/>
          <w:left w:w="28" w:type="dxa"/>
          <w:bottom w:w="28" w:type="dxa"/>
          <w:right w:w="28" w:type="dxa"/>
        </w:tblCellMar>
      </w:tblPr>
      <w:tblGrid>
        <w:gridCol w:w="3678"/>
        <w:gridCol w:w="3678"/>
      </w:tblGrid>
      <w:tr>
        <w:trPr/>
        <w:tc>
          <w:tcPr>
            <w:tcW w:w="3678" w:type="dxa"/>
            <w:tcBorders/>
            <w:vAlign w:val="center"/>
          </w:tcPr>
          <w:p>
            <w:pPr>
              <w:pStyle w:val="TableContents"/>
              <w:bidi w:val="0"/>
              <w:spacing w:before="0" w:after="0"/>
              <w:jc w:val="left"/>
              <w:rPr/>
            </w:pPr>
            <w:r>
              <w:rPr/>
              <w:t> </w:t>
            </w:r>
          </w:p>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0"/>
                    <w:jc w:val="left"/>
                    <w:rPr/>
                  </w:pPr>
                  <w:r>
                    <w:rPr/>
                    <w:t>Soleus Private Equity Fund III, L.P.</w:t>
                  </w:r>
                </w:p>
              </w:tc>
            </w:tr>
          </w:tbl>
          <w:p>
            <w:pPr>
              <w:pStyle w:val="TableContents"/>
              <w:bidi w:val="0"/>
              <w:spacing w:before="0" w:after="283"/>
              <w:jc w:val="left"/>
              <w:rPr/>
            </w:pPr>
            <w:r>
              <w:rPr/>
            </w:r>
          </w:p>
        </w:tc>
        <w:tc>
          <w:tcPr>
            <w:tcW w:w="36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3"/>
        <w:gridCol w:w="4292"/>
      </w:tblGrid>
      <w:tr>
        <w:trPr/>
        <w:tc>
          <w:tcPr>
            <w:tcW w:w="59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Guy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Guy Levy / Managing Member of the Sole Manager of the General Partner of Soleus Private Equity Fund III, L.P.</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292" w:type="dxa"/>
            <w:tcBorders/>
            <w:vAlign w:val="center"/>
          </w:tcPr>
          <w:p>
            <w:pPr>
              <w:pStyle w:val="TableContents"/>
              <w:bidi w:val="0"/>
              <w:spacing w:before="0" w:after="283"/>
              <w:jc w:val="left"/>
              <w:rPr>
                <w:sz w:val="4"/>
                <w:szCs w:val="4"/>
              </w:rPr>
            </w:pPr>
            <w:r>
              <w:rPr>
                <w:sz w:val="4"/>
                <w:szCs w:val="4"/>
              </w:rPr>
            </w:r>
          </w:p>
        </w:tc>
      </w:tr>
    </w:tbl>
    <w:tbl>
      <w:tblPr>
        <w:tblW w:w="7126" w:type="dxa"/>
        <w:jc w:val="left"/>
        <w:tblInd w:w="0" w:type="dxa"/>
        <w:tblLayout w:type="fixed"/>
        <w:tblCellMar>
          <w:top w:w="28" w:type="dxa"/>
          <w:left w:w="28" w:type="dxa"/>
          <w:bottom w:w="28" w:type="dxa"/>
          <w:right w:w="28" w:type="dxa"/>
        </w:tblCellMar>
      </w:tblPr>
      <w:tblGrid>
        <w:gridCol w:w="3563"/>
        <w:gridCol w:w="3563"/>
      </w:tblGrid>
      <w:tr>
        <w:trPr/>
        <w:tc>
          <w:tcPr>
            <w:tcW w:w="3563" w:type="dxa"/>
            <w:tcBorders/>
            <w:vAlign w:val="center"/>
          </w:tcPr>
          <w:p>
            <w:pPr>
              <w:pStyle w:val="TableContents"/>
              <w:bidi w:val="0"/>
              <w:spacing w:before="0" w:after="0"/>
              <w:jc w:val="left"/>
              <w:rPr/>
            </w:pPr>
            <w:r>
              <w:rPr/>
              <w:t> </w:t>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0"/>
                    <w:jc w:val="left"/>
                    <w:rPr/>
                  </w:pPr>
                  <w:r>
                    <w:rPr/>
                    <w:t>Soleus Private Equity GP III, LLC</w:t>
                  </w:r>
                </w:p>
              </w:tc>
            </w:tr>
          </w:tbl>
          <w:p>
            <w:pPr>
              <w:pStyle w:val="TableContents"/>
              <w:bidi w:val="0"/>
              <w:spacing w:before="0" w:after="283"/>
              <w:jc w:val="left"/>
              <w:rPr/>
            </w:pPr>
            <w:r>
              <w:rPr/>
            </w:r>
          </w:p>
        </w:tc>
        <w:tc>
          <w:tcPr>
            <w:tcW w:w="35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5"/>
        <w:gridCol w:w="4290"/>
      </w:tblGrid>
      <w:tr>
        <w:trPr/>
        <w:tc>
          <w:tcPr>
            <w:tcW w:w="59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Guy Levy</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Guy Levy / Managing Member of the Sole Manager of Soleus Private Equity GP III, LLC</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290" w:type="dxa"/>
            <w:tcBorders/>
            <w:vAlign w:val="center"/>
          </w:tcPr>
          <w:p>
            <w:pPr>
              <w:pStyle w:val="TableContents"/>
              <w:bidi w:val="0"/>
              <w:spacing w:before="0" w:after="283"/>
              <w:jc w:val="left"/>
              <w:rPr>
                <w:sz w:val="4"/>
                <w:szCs w:val="4"/>
              </w:rPr>
            </w:pPr>
            <w:r>
              <w:rPr>
                <w:sz w:val="4"/>
                <w:szCs w:val="4"/>
              </w:rPr>
            </w:r>
          </w:p>
        </w:tc>
      </w:tr>
    </w:tbl>
    <w:tbl>
      <w:tblPr>
        <w:tblW w:w="4982" w:type="dxa"/>
        <w:jc w:val="left"/>
        <w:tblInd w:w="0" w:type="dxa"/>
        <w:tblLayout w:type="fixed"/>
        <w:tblCellMar>
          <w:top w:w="28" w:type="dxa"/>
          <w:left w:w="28" w:type="dxa"/>
          <w:bottom w:w="28" w:type="dxa"/>
          <w:right w:w="28" w:type="dxa"/>
        </w:tblCellMar>
      </w:tblPr>
      <w:tblGrid>
        <w:gridCol w:w="2491"/>
        <w:gridCol w:w="2491"/>
      </w:tblGrid>
      <w:tr>
        <w:trPr/>
        <w:tc>
          <w:tcPr>
            <w:tcW w:w="2491" w:type="dxa"/>
            <w:tcBorders/>
            <w:vAlign w:val="center"/>
          </w:tcPr>
          <w:p>
            <w:pPr>
              <w:pStyle w:val="TableContents"/>
              <w:bidi w:val="0"/>
              <w:spacing w:before="0" w:after="0"/>
              <w:jc w:val="left"/>
              <w:rPr/>
            </w:pPr>
            <w:r>
              <w:rPr/>
              <w:t> </w:t>
            </w:r>
          </w:p>
          <w:tbl>
            <w:tblPr>
              <w:tblW w:w="2386" w:type="dxa"/>
              <w:jc w:val="left"/>
              <w:tblInd w:w="0" w:type="dxa"/>
              <w:tblLayout w:type="fixed"/>
              <w:tblCellMar>
                <w:top w:w="28" w:type="dxa"/>
                <w:left w:w="28" w:type="dxa"/>
                <w:bottom w:w="28" w:type="dxa"/>
                <w:right w:w="28" w:type="dxa"/>
              </w:tblCellMar>
            </w:tblPr>
            <w:tblGrid>
              <w:gridCol w:w="2386"/>
            </w:tblGrid>
            <w:tr>
              <w:trPr/>
              <w:tc>
                <w:tcPr>
                  <w:tcW w:w="2386" w:type="dxa"/>
                  <w:tcBorders/>
                  <w:vAlign w:val="center"/>
                </w:tcPr>
                <w:p>
                  <w:pPr>
                    <w:pStyle w:val="TableContents"/>
                    <w:bidi w:val="0"/>
                    <w:spacing w:before="0" w:after="0"/>
                    <w:jc w:val="left"/>
                    <w:rPr/>
                  </w:pPr>
                  <w:r>
                    <w:rPr/>
                    <w:t>Soleus PE GP III, LLC</w:t>
                  </w:r>
                </w:p>
              </w:tc>
            </w:tr>
          </w:tbl>
          <w:p>
            <w:pPr>
              <w:pStyle w:val="TableContents"/>
              <w:bidi w:val="0"/>
              <w:spacing w:before="0" w:after="283"/>
              <w:jc w:val="left"/>
              <w:rPr/>
            </w:pPr>
            <w:r>
              <w:rPr/>
            </w:r>
          </w:p>
        </w:tc>
        <w:tc>
          <w:tcPr>
            <w:tcW w:w="2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2"/>
        <w:gridCol w:w="4293"/>
      </w:tblGrid>
      <w:tr>
        <w:trPr/>
        <w:tc>
          <w:tcPr>
            <w:tcW w:w="59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Guy Levy</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Guy Levy / Managing Member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293"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Soleus Capital Master Fund, 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5"/>
        <w:gridCol w:w="4290"/>
      </w:tblGrid>
      <w:tr>
        <w:trPr/>
        <w:tc>
          <w:tcPr>
            <w:tcW w:w="59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Guy Levy</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Guy Levy / Managing Member of the Managing Member of the General Partner of Soleus Capital Master Fund, L.P.</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290"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Soleus Capital, LLC</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Guy Levy</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Guy Levy / Managing Member of the Managing Member of Soleus Capital, LLC</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291" w:type="dxa"/>
            <w:tcBorders/>
            <w:vAlign w:val="center"/>
          </w:tcPr>
          <w:p>
            <w:pPr>
              <w:pStyle w:val="TableContents"/>
              <w:bidi w:val="0"/>
              <w:spacing w:before="0" w:after="283"/>
              <w:jc w:val="left"/>
              <w:rPr>
                <w:sz w:val="4"/>
                <w:szCs w:val="4"/>
              </w:rPr>
            </w:pPr>
            <w:r>
              <w:rPr>
                <w:sz w:val="4"/>
                <w:szCs w:val="4"/>
              </w:rPr>
            </w:r>
          </w:p>
        </w:tc>
      </w:tr>
    </w:tbl>
    <w:tbl>
      <w:tblPr>
        <w:tblW w:w="5856" w:type="dxa"/>
        <w:jc w:val="left"/>
        <w:tblInd w:w="0" w:type="dxa"/>
        <w:tblLayout w:type="fixed"/>
        <w:tblCellMar>
          <w:top w:w="28" w:type="dxa"/>
          <w:left w:w="28" w:type="dxa"/>
          <w:bottom w:w="28" w:type="dxa"/>
          <w:right w:w="28" w:type="dxa"/>
        </w:tblCellMar>
      </w:tblPr>
      <w:tblGrid>
        <w:gridCol w:w="2928"/>
        <w:gridCol w:w="2928"/>
      </w:tblGrid>
      <w:tr>
        <w:trPr/>
        <w:tc>
          <w:tcPr>
            <w:tcW w:w="2928" w:type="dxa"/>
            <w:tcBorders/>
            <w:vAlign w:val="center"/>
          </w:tcPr>
          <w:p>
            <w:pPr>
              <w:pStyle w:val="TableContents"/>
              <w:bidi w:val="0"/>
              <w:spacing w:before="0" w:after="0"/>
              <w:jc w:val="left"/>
              <w:rPr/>
            </w:pPr>
            <w:r>
              <w:rPr/>
              <w:t> </w:t>
            </w:r>
          </w:p>
          <w:tbl>
            <w:tblPr>
              <w:tblW w:w="2791" w:type="dxa"/>
              <w:jc w:val="left"/>
              <w:tblInd w:w="0" w:type="dxa"/>
              <w:tblLayout w:type="fixed"/>
              <w:tblCellMar>
                <w:top w:w="28" w:type="dxa"/>
                <w:left w:w="28" w:type="dxa"/>
                <w:bottom w:w="28" w:type="dxa"/>
                <w:right w:w="28" w:type="dxa"/>
              </w:tblCellMar>
            </w:tblPr>
            <w:tblGrid>
              <w:gridCol w:w="2791"/>
            </w:tblGrid>
            <w:tr>
              <w:trPr/>
              <w:tc>
                <w:tcPr>
                  <w:tcW w:w="2791" w:type="dxa"/>
                  <w:tcBorders/>
                  <w:vAlign w:val="center"/>
                </w:tcPr>
                <w:p>
                  <w:pPr>
                    <w:pStyle w:val="TableContents"/>
                    <w:bidi w:val="0"/>
                    <w:spacing w:before="0" w:after="0"/>
                    <w:jc w:val="left"/>
                    <w:rPr/>
                  </w:pPr>
                  <w:r>
                    <w:rPr/>
                    <w:t>Soleus Capital Group, LLC</w:t>
                  </w:r>
                </w:p>
              </w:tc>
            </w:tr>
          </w:tbl>
          <w:p>
            <w:pPr>
              <w:pStyle w:val="TableContents"/>
              <w:bidi w:val="0"/>
              <w:spacing w:before="0" w:after="283"/>
              <w:jc w:val="left"/>
              <w:rPr/>
            </w:pPr>
            <w:r>
              <w:rPr/>
            </w:r>
          </w:p>
        </w:tc>
        <w:tc>
          <w:tcPr>
            <w:tcW w:w="29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2"/>
        <w:gridCol w:w="4293"/>
      </w:tblGrid>
      <w:tr>
        <w:trPr/>
        <w:tc>
          <w:tcPr>
            <w:tcW w:w="59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Guy Levy</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Guy Levy / Managing Member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293" w:type="dxa"/>
            <w:tcBorders/>
            <w:vAlign w:val="center"/>
          </w:tcPr>
          <w:p>
            <w:pPr>
              <w:pStyle w:val="TableContents"/>
              <w:bidi w:val="0"/>
              <w:spacing w:before="0" w:after="283"/>
              <w:jc w:val="left"/>
              <w:rPr>
                <w:sz w:val="4"/>
                <w:szCs w:val="4"/>
              </w:rPr>
            </w:pPr>
            <w:r>
              <w:rPr>
                <w:sz w:val="4"/>
                <w:szCs w:val="4"/>
              </w:rPr>
            </w:r>
          </w:p>
        </w:tc>
      </w:tr>
    </w:tbl>
    <w:tbl>
      <w:tblPr>
        <w:tblW w:w="6924" w:type="dxa"/>
        <w:jc w:val="left"/>
        <w:tblInd w:w="0" w:type="dxa"/>
        <w:tblLayout w:type="fixed"/>
        <w:tblCellMar>
          <w:top w:w="28" w:type="dxa"/>
          <w:left w:w="28" w:type="dxa"/>
          <w:bottom w:w="28" w:type="dxa"/>
          <w:right w:w="28" w:type="dxa"/>
        </w:tblCellMar>
      </w:tblPr>
      <w:tblGrid>
        <w:gridCol w:w="3462"/>
        <w:gridCol w:w="3462"/>
      </w:tblGrid>
      <w:tr>
        <w:trPr/>
        <w:tc>
          <w:tcPr>
            <w:tcW w:w="3462" w:type="dxa"/>
            <w:tcBorders/>
            <w:vAlign w:val="center"/>
          </w:tcPr>
          <w:p>
            <w:pPr>
              <w:pStyle w:val="TableContents"/>
              <w:bidi w:val="0"/>
              <w:spacing w:before="0" w:after="0"/>
              <w:jc w:val="left"/>
              <w:rPr/>
            </w:pPr>
            <w:r>
              <w:rPr/>
              <w:t>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0"/>
                    <w:jc w:val="left"/>
                    <w:rPr/>
                  </w:pPr>
                  <w:r>
                    <w:rPr/>
                    <w:t>Soleus Capital Management, L.P.</w:t>
                  </w:r>
                </w:p>
              </w:tc>
            </w:tr>
          </w:tbl>
          <w:p>
            <w:pPr>
              <w:pStyle w:val="TableContents"/>
              <w:bidi w:val="0"/>
              <w:spacing w:before="0" w:after="283"/>
              <w:jc w:val="left"/>
              <w:rPr/>
            </w:pPr>
            <w:r>
              <w:rPr/>
            </w:r>
          </w:p>
        </w:tc>
        <w:tc>
          <w:tcPr>
            <w:tcW w:w="34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6"/>
        <w:gridCol w:w="4209"/>
      </w:tblGrid>
      <w:tr>
        <w:trPr/>
        <w:tc>
          <w:tcPr>
            <w:tcW w:w="59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Guy Levy</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Guy Levy / Managing Member of the General Partner of Soleus Capital Management, L.P.</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209"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Soleus GP, LLC</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2"/>
        <w:gridCol w:w="4293"/>
      </w:tblGrid>
      <w:tr>
        <w:trPr/>
        <w:tc>
          <w:tcPr>
            <w:tcW w:w="59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Guy Levy</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Guy Levy / Managing Member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293" w:type="dxa"/>
            <w:tcBorders/>
            <w:vAlign w:val="center"/>
          </w:tcPr>
          <w:p>
            <w:pPr>
              <w:pStyle w:val="TableContents"/>
              <w:bidi w:val="0"/>
              <w:spacing w:before="0" w:after="283"/>
              <w:jc w:val="left"/>
              <w:rPr>
                <w:sz w:val="4"/>
                <w:szCs w:val="4"/>
              </w:rPr>
            </w:pPr>
            <w:r>
              <w:rPr>
                <w:sz w:val="4"/>
                <w:szCs w:val="4"/>
              </w:rPr>
            </w:r>
          </w:p>
        </w:tc>
      </w:tr>
    </w:tbl>
    <w:tbl>
      <w:tblPr>
        <w:tblW w:w="2492" w:type="dxa"/>
        <w:jc w:val="left"/>
        <w:tblInd w:w="0" w:type="dxa"/>
        <w:tblLayout w:type="fixed"/>
        <w:tblCellMar>
          <w:top w:w="28" w:type="dxa"/>
          <w:left w:w="28" w:type="dxa"/>
          <w:bottom w:w="28" w:type="dxa"/>
          <w:right w:w="28" w:type="dxa"/>
        </w:tblCellMar>
      </w:tblPr>
      <w:tblGrid>
        <w:gridCol w:w="1246"/>
        <w:gridCol w:w="1246"/>
      </w:tblGrid>
      <w:tr>
        <w:trPr/>
        <w:tc>
          <w:tcPr>
            <w:tcW w:w="1246" w:type="dxa"/>
            <w:tcBorders/>
            <w:vAlign w:val="center"/>
          </w:tcPr>
          <w:p>
            <w:pPr>
              <w:pStyle w:val="TableContents"/>
              <w:bidi w:val="0"/>
              <w:spacing w:before="0" w:after="0"/>
              <w:jc w:val="left"/>
              <w:rPr/>
            </w:pPr>
            <w:r>
              <w:rPr/>
              <w:t> </w:t>
            </w:r>
          </w:p>
          <w:tbl>
            <w:tblPr>
              <w:tblW w:w="1141" w:type="dxa"/>
              <w:jc w:val="left"/>
              <w:tblInd w:w="0" w:type="dxa"/>
              <w:tblLayout w:type="fixed"/>
              <w:tblCellMar>
                <w:top w:w="28" w:type="dxa"/>
                <w:left w:w="28" w:type="dxa"/>
                <w:bottom w:w="28" w:type="dxa"/>
                <w:right w:w="28" w:type="dxa"/>
              </w:tblCellMar>
            </w:tblPr>
            <w:tblGrid>
              <w:gridCol w:w="1141"/>
            </w:tblGrid>
            <w:tr>
              <w:trPr/>
              <w:tc>
                <w:tcPr>
                  <w:tcW w:w="1141" w:type="dxa"/>
                  <w:tcBorders/>
                  <w:vAlign w:val="center"/>
                </w:tcPr>
                <w:p>
                  <w:pPr>
                    <w:pStyle w:val="TableContents"/>
                    <w:bidi w:val="0"/>
                    <w:spacing w:before="0" w:after="0"/>
                    <w:jc w:val="left"/>
                    <w:rPr/>
                  </w:pPr>
                  <w:r>
                    <w:rPr/>
                    <w:t>Guy Levy</w:t>
                  </w:r>
                </w:p>
              </w:tc>
            </w:tr>
          </w:tbl>
          <w:p>
            <w:pPr>
              <w:pStyle w:val="TableContents"/>
              <w:bidi w:val="0"/>
              <w:spacing w:before="0" w:after="283"/>
              <w:jc w:val="left"/>
              <w:rPr/>
            </w:pPr>
            <w:r>
              <w:rPr/>
            </w:r>
          </w:p>
        </w:tc>
        <w:tc>
          <w:tcPr>
            <w:tcW w:w="12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8"/>
        <w:gridCol w:w="4507"/>
      </w:tblGrid>
      <w:tr>
        <w:trPr/>
        <w:tc>
          <w:tcPr>
            <w:tcW w:w="56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3"/>
              <w:gridCol w:w="9012"/>
            </w:tblGrid>
            <w:tr>
              <w:trPr/>
              <w:tc>
                <w:tcPr>
                  <w:tcW w:w="1193" w:type="dxa"/>
                  <w:tcBorders/>
                  <w:vAlign w:val="center"/>
                </w:tcPr>
                <w:p>
                  <w:pPr>
                    <w:pStyle w:val="TableContents"/>
                    <w:bidi w:val="0"/>
                    <w:spacing w:before="0" w:after="283"/>
                    <w:jc w:val="left"/>
                    <w:rPr/>
                  </w:pPr>
                  <w:r>
                    <w:rPr/>
                    <w:t>Signature:</w:t>
                  </w:r>
                </w:p>
              </w:tc>
              <w:tc>
                <w:tcPr>
                  <w:tcW w:w="9012" w:type="dxa"/>
                  <w:tcBorders/>
                  <w:vAlign w:val="center"/>
                </w:tcPr>
                <w:p>
                  <w:pPr>
                    <w:pStyle w:val="TableContents"/>
                    <w:bidi w:val="0"/>
                    <w:spacing w:before="0" w:after="283"/>
                    <w:jc w:val="left"/>
                    <w:rPr/>
                  </w:pPr>
                  <w:r>
                    <w:rPr/>
                    <w:t>/s/ Guy Levy</w:t>
                  </w:r>
                </w:p>
              </w:tc>
            </w:tr>
            <w:tr>
              <w:trPr/>
              <w:tc>
                <w:tcPr>
                  <w:tcW w:w="1193" w:type="dxa"/>
                  <w:tcBorders/>
                  <w:vAlign w:val="center"/>
                </w:tcPr>
                <w:p>
                  <w:pPr>
                    <w:pStyle w:val="TableContents"/>
                    <w:bidi w:val="0"/>
                    <w:spacing w:before="0" w:after="283"/>
                    <w:jc w:val="left"/>
                    <w:rPr/>
                  </w:pPr>
                  <w:r>
                    <w:rPr/>
                    <w:t>Name/Title:</w:t>
                  </w:r>
                </w:p>
              </w:tc>
              <w:tc>
                <w:tcPr>
                  <w:tcW w:w="9012" w:type="dxa"/>
                  <w:tcBorders/>
                  <w:vAlign w:val="center"/>
                </w:tcPr>
                <w:p>
                  <w:pPr>
                    <w:pStyle w:val="TableContents"/>
                    <w:bidi w:val="0"/>
                    <w:spacing w:before="0" w:after="283"/>
                    <w:jc w:val="left"/>
                    <w:rPr/>
                  </w:pPr>
                  <w:r>
                    <w:rPr/>
                    <w:t>Guy Levy</w:t>
                  </w:r>
                </w:p>
              </w:tc>
            </w:tr>
            <w:tr>
              <w:trPr/>
              <w:tc>
                <w:tcPr>
                  <w:tcW w:w="1193" w:type="dxa"/>
                  <w:tcBorders/>
                  <w:vAlign w:val="center"/>
                </w:tcPr>
                <w:p>
                  <w:pPr>
                    <w:pStyle w:val="TableContents"/>
                    <w:bidi w:val="0"/>
                    <w:spacing w:before="0" w:after="283"/>
                    <w:jc w:val="left"/>
                    <w:rPr/>
                  </w:pPr>
                  <w:r>
                    <w:rPr/>
                    <w:t>Date:</w:t>
                  </w:r>
                </w:p>
              </w:tc>
              <w:tc>
                <w:tcPr>
                  <w:tcW w:w="9012"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50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4157</Words>
  <Characters>19801</Characters>
  <CharactersWithSpaces>23764</CharactersWithSpaces>
  <Paragraphs>514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