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1534133-20260702.htm"/>
      <w:bookmarkStart w:id="1" w:name="ksck00015341332026070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251" w:type="dxa"/>
        <w:jc w:val="left"/>
        <w:tblInd w:w="0" w:type="dxa"/>
        <w:tblLayout w:type="fixed"/>
        <w:tblCellMar>
          <w:top w:w="28" w:type="dxa"/>
          <w:left w:w="28" w:type="dxa"/>
          <w:bottom w:w="28" w:type="dxa"/>
          <w:right w:w="28" w:type="dxa"/>
        </w:tblCellMar>
      </w:tblPr>
      <w:tblGrid>
        <w:gridCol w:w="5251"/>
      </w:tblGrid>
      <w:tr>
        <w:trPr/>
        <w:tc>
          <w:tcPr>
            <w:tcW w:w="5251" w:type="dxa"/>
            <w:tcBorders/>
            <w:vAlign w:val="center"/>
          </w:tcPr>
          <w:p>
            <w:pPr>
              <w:pStyle w:val="TableContents"/>
              <w:bidi w:val="0"/>
              <w:spacing w:before="0" w:after="283"/>
              <w:jc w:val="left"/>
              <w:rPr>
                <w:sz w:val="4"/>
                <w:szCs w:val="4"/>
              </w:rPr>
            </w:pPr>
            <w:r>
              <w:rPr>
                <w:sz w:val="4"/>
                <w:szCs w:val="4"/>
              </w:rPr>
            </w:r>
          </w:p>
        </w:tc>
      </w:tr>
      <w:tr>
        <w:trPr/>
        <w:tc>
          <w:tcPr>
            <w:tcW w:w="5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CalciMedica,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81" w:type="dxa"/>
        <w:jc w:val="left"/>
        <w:tblInd w:w="0" w:type="dxa"/>
        <w:tblLayout w:type="fixed"/>
        <w:tblCellMar>
          <w:top w:w="28" w:type="dxa"/>
          <w:left w:w="28" w:type="dxa"/>
          <w:bottom w:w="28" w:type="dxa"/>
          <w:right w:w="28" w:type="dxa"/>
        </w:tblCellMar>
      </w:tblPr>
      <w:tblGrid>
        <w:gridCol w:w="1166"/>
        <w:gridCol w:w="1064"/>
        <w:gridCol w:w="1069"/>
        <w:gridCol w:w="1846"/>
        <w:gridCol w:w="1336"/>
      </w:tblGrid>
      <w:tr>
        <w:trPr/>
        <w:tc>
          <w:tcPr>
            <w:tcW w:w="11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001-39538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45-2120079</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505 Coast Boulevard South, Suite 307</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 Jolla,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92037</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952-5500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6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5.02. Departure of Directors or Certain Officers; Election of Directors; Appointment of Certain Officers; Compensatory Arrangements of Certain Officers.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2, 2026, the board of directors (the “Board”) of CalciMedica, Inc., a Delaware corporation (the “Company”), upon recommendation of the Nominating and Corporate Governance Committee of the Board (the “Nominating Committee”), increased the size of the Board from seven directors to eight directors. The Board, upon recommendation of the Nominating Committee, appointed Evgeny Zaytsev, M.D., Ph.D., as a Class I director of the Company, effective immediately, with a term of office expiring at the 2027 annual meeting of stockholders. There are no arrangements or understandings between Dr. Zaytsev and any other person pursuant to which he was selected as a director. In addition, there are no transactions in which Dr. Zaytsev has an interest that would require disclosure under Item 404(a) of Regulation S-K.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Company’s compensation policy for non-employee directors (the “Compensation Policy”), Dr. Zaytsev (i) will receive an annual cash retainer of $40,000 for service as a member of the Board, pro-rated based on days served, and (ii) was granted an option to purchase 20,000 shares of the Company’s common stock, which vests monthly over a three-year period from July 2, 2026, subject to Dr. Zaytsev’s continuous service. Dr. Zaytsev will enter into the Company’s standard form of Indemnity Agreement for directors of the Company, a copy of which is filed as Exhibit 10.1 to the Company’s Registration Statement on Form S-1, filed with the SEC on September 4, 2020.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2, 2026, Fred Middleton informed the Board of his intention to retire from the Board effective on the Company’s 2026 annual meeting of the stockholders. On Mr. Middleton’s retirement, the size of the Board will be decreased to seven directors.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Mr. Middleton’s retirement is not the result of any disagreement with the Company on any matter relating to its operations, policies, practices or otherwise.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84" w:type="dxa"/>
        <w:jc w:val="left"/>
        <w:tblInd w:w="0" w:type="dxa"/>
        <w:tblLayout w:type="fixed"/>
        <w:tblCellMar>
          <w:top w:w="28" w:type="dxa"/>
          <w:left w:w="28" w:type="dxa"/>
          <w:bottom w:w="28" w:type="dxa"/>
          <w:right w:w="28" w:type="dxa"/>
        </w:tblCellMar>
      </w:tblPr>
      <w:tblGrid>
        <w:gridCol w:w="556"/>
        <w:gridCol w:w="1111"/>
        <w:gridCol w:w="631"/>
        <w:gridCol w:w="2386"/>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CalciMedica,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7,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i/>
                <w:color w:val="000000"/>
                <w:sz w:val="20"/>
              </w:rPr>
            </w:pPr>
            <w:r>
              <w:rPr>
                <w:rFonts w:ascii="Times New Roman" w:hAnsi="Times New Roman"/>
                <w:i/>
                <w:color w:val="000000"/>
                <w:sz w:val="20"/>
              </w:rPr>
              <w:t>/s/ A. Rachel Leheny, Ph. 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 Rachel Leheny, Ph. D.</w:t>
              <w:br/>
              <w:t>Chief Executive Officer</w:t>
              <w:b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3698</Characters>
  <CharactersWithSpaces>4375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