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3.xml.htm"/>
      <w:bookmarkStart w:id="1" w:name="ksform3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061"/>
        <w:gridCol w:w="1531"/>
        <w:gridCol w:w="3061"/>
        <w:gridCol w:w="2552"/>
      </w:tblGrid>
      <w:tr>
        <w:trPr/>
        <w:tc>
          <w:tcPr>
            <w:tcW w:w="306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ALAFI CAPITAL CO LLC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941"/>
            </w:tblGrid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 ADMIRAL DRIVE, SUITE 324</w:t>
                  </w:r>
                </w:p>
              </w:tc>
            </w:tr>
            <w:tr>
              <w:trPr/>
              <w:tc>
                <w:tcPr>
                  <w:tcW w:w="29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EMERYVILLE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94608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980"/>
              <w:gridCol w:w="980"/>
              <w:gridCol w:w="981"/>
            </w:tblGrid>
            <w:tr>
              <w:trPr/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98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98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3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06/25/2026</w:t>
            </w:r>
            <w:r>
              <w:rPr/>
              <w:t xml:space="preserve"> </w:t>
            </w:r>
          </w:p>
        </w:tc>
        <w:tc>
          <w:tcPr>
            <w:tcW w:w="5613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CalciMedica,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CALC</w:t>
            </w:r>
            <w:r>
              <w:rPr/>
              <w:t xml:space="preserve"> ] 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06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5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64"/>
              <w:gridCol w:w="2068"/>
            </w:tblGrid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6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6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2"/>
        <w:gridCol w:w="1963"/>
        <w:gridCol w:w="1166"/>
        <w:gridCol w:w="2654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2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  <w:tr>
        <w:trPr/>
        <w:tc>
          <w:tcPr>
            <w:tcW w:w="4422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19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5,112,345</w:t>
            </w:r>
          </w:p>
        </w:tc>
        <w:tc>
          <w:tcPr>
            <w:tcW w:w="11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26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663"/>
        <w:gridCol w:w="1223"/>
        <w:gridCol w:w="1129"/>
        <w:gridCol w:w="1340"/>
        <w:gridCol w:w="978"/>
        <w:gridCol w:w="1265"/>
        <w:gridCol w:w="1228"/>
        <w:gridCol w:w="1379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166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2318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3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66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3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66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 Warrants</w:t>
            </w:r>
          </w:p>
        </w:tc>
        <w:tc>
          <w:tcPr>
            <w:tcW w:w="12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3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130,651</w:t>
            </w:r>
          </w:p>
        </w:tc>
        <w:tc>
          <w:tcPr>
            <w:tcW w:w="12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7.15</w:t>
            </w:r>
          </w:p>
        </w:tc>
        <w:tc>
          <w:tcPr>
            <w:tcW w:w="12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3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issue date of the warrants is July 22, 2025.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expiration of these Warrants is the earlier of (i) 5:00pm (New York City time) on December 31, 2026 and (ii) 30 days following the Company's public disclosure of topline results from the Company's planned Phase 2 clinical trial in patients with acute kidney injury.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Christopher D. Alafi, as managing member of Alafi Capital Company, LLC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07/10/2026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216017" TargetMode="External"/><Relationship Id="rId3" Type="http://schemas.openxmlformats.org/officeDocument/2006/relationships/hyperlink" Target="http://www.sec.gov/cgi-bin/browse-edgar?action=getcompany&amp;CIK=0001534133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458</Words>
  <Characters>2481</Characters>
  <CharactersWithSpaces>2893</CharactersWithSpaces>
  <Paragraphs>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