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both"/>
        <w:rPr/>
      </w:pPr>
      <w:bookmarkStart w:id="0" w:name="ck0001534133-20260331.htm"/>
      <w:bookmarkStart w:id="1" w:name="ksck000153413320260331"/>
      <w:bookmarkEnd w:id="0"/>
      <w:bookmarkEnd w:id="1"/>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8" w:space="1" w:color="000000"/>
        </w:pBdr>
        <w:bidi w:val="0"/>
        <w:jc w:val="center"/>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For the quarterly period ended March 31, 2026</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OR</w:t>
      </w:r>
    </w:p>
    <w:p>
      <w:pPr>
        <w:pStyle w:val="TextBody"/>
        <w:bidi w:val="0"/>
        <w:spacing w:before="8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Commission File Number 001-39538</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CalciMedica,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8" w:space="1" w:color="000000"/>
        </w:pBdr>
        <w:bidi w:val="0"/>
        <w:jc w:val="center"/>
        <w:rPr/>
      </w:pPr>
      <w:r>
        <w:rPr/>
        <w:t> </w:t>
      </w:r>
    </w:p>
    <w:p>
      <w:pPr>
        <w:pStyle w:val="TextBody"/>
        <w:bidi w:val="0"/>
        <w:jc w:val="left"/>
        <w:rPr/>
      </w:pPr>
      <w:r>
        <w:rPr/>
        <w:t> </w:t>
      </w:r>
    </w:p>
    <w:tbl>
      <w:tblPr>
        <w:tblW w:w="4161" w:type="dxa"/>
        <w:jc w:val="left"/>
        <w:tblInd w:w="0" w:type="dxa"/>
        <w:tblLayout w:type="fixed"/>
        <w:tblCellMar>
          <w:top w:w="28" w:type="dxa"/>
          <w:left w:w="28" w:type="dxa"/>
          <w:bottom w:w="28" w:type="dxa"/>
          <w:right w:w="28" w:type="dxa"/>
        </w:tblCellMar>
      </w:tblPr>
      <w:tblGrid>
        <w:gridCol w:w="2566"/>
        <w:gridCol w:w="109"/>
        <w:gridCol w:w="1486"/>
      </w:tblGrid>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45-2120079</w:t>
            </w:r>
          </w:p>
        </w:tc>
      </w:tr>
      <w:tr>
        <w:trPr/>
        <w:tc>
          <w:tcPr>
            <w:tcW w:w="25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505 Coast Boulevard South, Suite 307</w:t>
      </w:r>
    </w:p>
    <w:p>
      <w:pPr>
        <w:pStyle w:val="TextBody"/>
        <w:bidi w:val="0"/>
        <w:jc w:val="center"/>
        <w:rPr>
          <w:rFonts w:ascii="Times New Roman" w:hAnsi="Times New Roman"/>
          <w:sz w:val="20"/>
        </w:rPr>
      </w:pPr>
      <w:r>
        <w:rPr>
          <w:rFonts w:ascii="Times New Roman" w:hAnsi="Times New Roman"/>
          <w:b/>
          <w:color w:val="000000"/>
          <w:sz w:val="20"/>
        </w:rPr>
        <w:t>La Jolla, CA</w:t>
      </w:r>
      <w:r>
        <w:rPr>
          <w:rFonts w:ascii="Times New Roman" w:hAnsi="Times New Roman"/>
          <w:color w:val="000000"/>
          <w:sz w:val="20"/>
        </w:rPr>
        <w:t xml:space="preserve"> </w:t>
      </w:r>
      <w:r>
        <w:rPr>
          <w:rFonts w:ascii="Times New Roman" w:hAnsi="Times New Roman"/>
          <w:b/>
          <w:color w:val="000000"/>
          <w:sz w:val="20"/>
        </w:rPr>
        <w:t>92037</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(858) 952-5500</w:t>
      </w:r>
    </w:p>
    <w:p>
      <w:pPr>
        <w:pStyle w:val="TextBody"/>
        <w:pBdr>
          <w:bottom w:val="single" w:sz="8" w:space="1" w:color="000000"/>
        </w:pBdr>
        <w:bidi w:val="0"/>
        <w:jc w:val="center"/>
        <w:rPr/>
      </w:pPr>
      <w:r>
        <w:rPr/>
        <w:t> </w:t>
      </w:r>
    </w:p>
    <w:p>
      <w:pPr>
        <w:pStyle w:val="TextBody"/>
        <w:bidi w:val="0"/>
        <w:spacing w:before="80" w:after="283"/>
        <w:jc w:val="both"/>
        <w:rPr>
          <w:rFonts w:ascii="Times New Roman" w:hAnsi="Times New Roman"/>
          <w:color w:val="000000"/>
          <w:sz w:val="19"/>
        </w:rPr>
      </w:pPr>
      <w:r>
        <w:rPr>
          <w:rFonts w:ascii="Times New Roman" w:hAnsi="Times New Roman"/>
          <w:color w:val="000000"/>
          <w:sz w:val="19"/>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706"/>
        <w:gridCol w:w="146"/>
        <w:gridCol w:w="145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pPr>
            <w:r>
              <w:rPr/>
              <w:t> </w:t>
            </w:r>
          </w:p>
        </w:tc>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shd w:fill="FFFFFF" w:val="clear"/>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9"/>
              </w:rPr>
            </w:pPr>
            <w:r>
              <w:rPr>
                <w:rFonts w:ascii="Times New Roman" w:hAnsi="Times New Roman"/>
                <w:color w:val="000000"/>
                <w:sz w:val="19"/>
              </w:rPr>
              <w:t>Common Stock, par value $0.0001 per share</w:t>
            </w:r>
          </w:p>
        </w:tc>
        <w:tc>
          <w:tcPr>
            <w:tcW w:w="146" w:type="dxa"/>
            <w:tcBorders/>
            <w:shd w:fill="FFFFFF" w:val="clear"/>
            <w:tcMar>
              <w:top w:w="0" w:type="dxa"/>
              <w:left w:w="0" w:type="dxa"/>
              <w:bottom w:w="0" w:type="dxa"/>
              <w:right w:w="0" w:type="dxa"/>
            </w:tcMar>
            <w:vAlign w:val="center"/>
          </w:tcPr>
          <w:p>
            <w:pPr>
              <w:pStyle w:val="TableContents"/>
              <w:bidi w:val="0"/>
              <w:spacing w:before="4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9"/>
              </w:rPr>
            </w:pPr>
            <w:r>
              <w:rPr>
                <w:rFonts w:ascii="Times New Roman" w:hAnsi="Times New Roman"/>
                <w:color w:val="000000"/>
                <w:sz w:val="19"/>
              </w:rPr>
              <w:t>CALC</w:t>
            </w:r>
          </w:p>
        </w:tc>
        <w:tc>
          <w:tcPr>
            <w:tcW w:w="146" w:type="dxa"/>
            <w:tcBorders/>
            <w:shd w:fill="FFFFFF" w:val="clear"/>
            <w:tcMar>
              <w:top w:w="0" w:type="dxa"/>
              <w:left w:w="0" w:type="dxa"/>
              <w:bottom w:w="0" w:type="dxa"/>
              <w:right w:w="0" w:type="dxa"/>
            </w:tcMar>
            <w:vAlign w:val="center"/>
          </w:tcPr>
          <w:p>
            <w:pPr>
              <w:pStyle w:val="TableContents"/>
              <w:bidi w:val="0"/>
              <w:spacing w:before="40" w:after="283"/>
              <w:jc w:val="center"/>
              <w:rPr/>
            </w:pPr>
            <w:r>
              <w:rPr/>
              <w:t> </w:t>
            </w:r>
          </w:p>
        </w:tc>
        <w:tc>
          <w:tcPr>
            <w:tcW w:w="3316" w:type="dxa"/>
            <w:tcBorders/>
            <w:shd w:fill="FFFFFF" w:val="clear"/>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9"/>
              </w:rPr>
            </w:pPr>
            <w:r>
              <w:rPr>
                <w:rFonts w:ascii="Times New Roman" w:hAnsi="Times New Roman"/>
                <w:color w:val="000000"/>
                <w:sz w:val="19"/>
              </w:rPr>
              <w:t>The Nasdaq Capital Market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9"/>
        </w:rPr>
        <w:t>Yes</w:t>
      </w:r>
      <w:r>
        <w:rPr>
          <w:rFonts w:ascii="Times New Roman" w:hAnsi="Times New Roman"/>
          <w:color w:val="000000"/>
          <w:sz w:val="20"/>
        </w:rPr>
        <w:t xml:space="preserve"> ☒ </w:t>
      </w:r>
      <w:r>
        <w:rPr>
          <w:rFonts w:ascii="Times New Roman" w:hAnsi="Times New Roman"/>
          <w:color w:val="000000"/>
          <w:sz w:val="19"/>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9"/>
        </w:rPr>
        <w:t>Yes</w:t>
      </w:r>
      <w:r>
        <w:rPr>
          <w:rFonts w:ascii="Times New Roman" w:hAnsi="Times New Roman"/>
          <w:color w:val="000000"/>
          <w:sz w:val="20"/>
        </w:rPr>
        <w:t xml:space="preserve"> ☒ </w:t>
      </w:r>
      <w:r>
        <w:rPr>
          <w:rFonts w:ascii="Times New Roman" w:hAnsi="Times New Roman"/>
          <w:color w:val="000000"/>
          <w:sz w:val="19"/>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479" w:type="dxa"/>
        <w:jc w:val="left"/>
        <w:tblInd w:w="0" w:type="dxa"/>
        <w:tblLayout w:type="fixed"/>
        <w:tblCellMar>
          <w:top w:w="28" w:type="dxa"/>
          <w:left w:w="28" w:type="dxa"/>
          <w:bottom w:w="28" w:type="dxa"/>
          <w:right w:w="28" w:type="dxa"/>
        </w:tblCellMar>
      </w:tblPr>
      <w:tblGrid>
        <w:gridCol w:w="1921"/>
        <w:gridCol w:w="109"/>
        <w:gridCol w:w="316"/>
        <w:gridCol w:w="146"/>
        <w:gridCol w:w="146"/>
        <w:gridCol w:w="2311"/>
        <w:gridCol w:w="109"/>
        <w:gridCol w:w="421"/>
      </w:tblGrid>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9"/>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9"/>
        </w:rPr>
        <w:t>The number of shares of the Registrant’s common stock outstanding</w:t>
      </w:r>
      <w:r>
        <w:rPr>
          <w:rFonts w:ascii="Times New Roman" w:hAnsi="Times New Roman"/>
          <w:color w:val="000000"/>
          <w:sz w:val="20"/>
        </w:rPr>
        <w:t xml:space="preserve"> </w:t>
      </w:r>
      <w:r>
        <w:rPr>
          <w:rFonts w:ascii="Times New Roman" w:hAnsi="Times New Roman"/>
          <w:color w:val="000000"/>
          <w:sz w:val="19"/>
        </w:rPr>
        <w:t>as of May 6, 2026 was 15,798,031.</w:t>
      </w:r>
    </w:p>
    <w:p>
      <w:pPr>
        <w:pStyle w:val="TextBody"/>
        <w:pBdr>
          <w:bottom w:val="double" w:sz="4" w:space="1" w:color="000000"/>
        </w:pBdr>
        <w:bidi w:val="0"/>
        <w:jc w:val="both"/>
        <w:rPr/>
      </w:pPr>
      <w:r>
        <w:rPr/>
        <w:t> </w:t>
      </w:r>
    </w:p>
    <w:p>
      <w:pPr>
        <w:pStyle w:val="TextBody"/>
        <w:bidi w:val="0"/>
        <w:jc w:val="both"/>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financial condition, business strategy and plans, and objectives of management for future operations, are forward-looking statements. In some cases you can identify these statements by forward-looking words such as “believe,” “may,” “will,” “estimate,” “continue,” “anticipate,” “intend,” “could,” “would,” “project,” “plan,” “expect” or the negative or plural of these words or similar expressions. These forward-looking statements include, but are not limited to, statements concerning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success, cost and timing of our development activities,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timing and outcome of our current and future clinical trials, and the reporting of data from those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of our technologies and our ability to execute on our corporate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key scientific, medical, commercial and management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fund our working capital needs;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strength and breadth of our patent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therapeutic potential of Auxora and our other product candidates and the expected patient populations, market opportunities, commercial potential and commercialization strategy thereof;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our cash runway and expected use of cash and cash equivalents;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to obtain additional funding and the ability to obtain such funding for our operations, including funding necessary to develop and commercialize our product candidates, subject to regulatory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and plans to contract with third-party suppliers and manufacturers and their ability to perform adequately;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expected competitive position;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and maintain our corporate infrastructure, including our ability to design and maintain an effective system of internal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legislative and regulatory developments in the United States and other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claims relating to our intellectual property or other legal proceedings;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future economic conditions or 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impact of global health pandemics, geopolitical conflicts and economic uncertainty, including tariffs and other trade measures, rising interest rates and inflation on our business and operations, including clinical trials, collaborators, contract research organizations (“CROs”) and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adequately protect intellectual property rights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regulatory approval for our product candidates and any related restrictions, limitations and/or warnings in the label of any approved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extend our operating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estimates of the market size of our product candidates, addressable patient populations, and future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service and comply with the terms of our outstanding indebtedness;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continue to satisfy the Nasdaq listing requirements and have our stock continue to trade on Nasdaq;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statements of belief and any statement of assumptions underlying any of the foregoing.</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greater detail under the heading “Risk Factors” and elsewhere in this Quarterly Report on Form 10-Q. You should not rely upon forward-looking statements as predictions of future events.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risk factors and uncertainties may emerge from time to time, and it is not possible for management to predict all 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believe that the expectations reflected in the forward-looking statements are reasonable, we cannot guarantee future results, levels of activity, performance or achievements. Except as required by law, after the date of this report, we are under no duty to update or revise any of the forward-looking statements, whether as a result of new information, future events or otherwise.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obtained industry, market and competitive position data in this report from our own internal estimates and research as well as from industry and general publications and research surveys and studies conducted by third parties. These data involve a number of assumptions and limitations, and you are cautioned not to give undue weight to such information or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aps/>
          <w:color w:val="000000"/>
          <w:sz w:val="20"/>
          <w:u w:val="single"/>
        </w:rPr>
      </w:pPr>
      <w:r>
        <w:rPr>
          <w:rFonts w:ascii="Times New Roman" w:hAnsi="Times New Roman"/>
          <w:b/>
          <w:caps/>
          <w:color w:val="000000"/>
          <w:sz w:val="20"/>
          <w:u w:val="single"/>
        </w:rPr>
        <w:t>Summary of risks associated with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investment in our common stock involves a high degree of risk. Below is a list of the more significant risks associated with our business. This summary does not address all of the risks that we face. Additional discussion of the risks listed in this summary, as well as other risks that we face, are set forth under Part II, Item 1A, “Risk Factors” in this Quarterly Report on Form 10-Q. These risks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biopharmaceutical company with a limited operating history. We have a history of net losses and anticipate that we will incur significant losses in the future. We have never generated any revenue from product sales and may never be profitable.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for additional capital raises substantial doubt about our ability to continue as a going concern. We will need to obtain substantial additional funding to complete the development and any commercialization of our product candidates. If we are unable to raise this capital when needed, on acceptable terms, or at all, we may be forced to delay, reduce or eliminate the development of our product candidates or other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of the Loan Agreement place restrictions on our operating and financial flexibility. If we raise additional capital through debt financing, the terms of any new debt could further restrict our operating and financial flexibility.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Raising additional capital may cause dilution to our stockholders, restrict our operations or require us to relinquish rights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acquisitions or strategic collaborations may increase our capital requirements, dilute our stockholders, cause us to incur debt or assume contingent liabilities or subject us to other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proprietary CRAC channel inhibition science is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use and expand our science to build a pipeline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highly dependent on the success of our product candidates, in particular Auxora, and we may fail to develop Auxora successfully or be unable to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development is a lengthy, expensive and uncertain process. The results of preclinical studies and early clinical trials are not always predictive of future results. Any product candidate that we advance into clinical trials may not achieve favorable results in later clinical trials, if any, or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conducted a significant portion of our CARPO trial in India, and regulatory authorities may not accept data from such trial or any future clinical trials we conduct outside the United States or the applicable foreign jurisdiction.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enrollment of patients in our clinical trials for our product candidates. If we experience delays or difficulties enrolling patients in our clinical trials, our research and development efforts and business, financial condition, results of operations and prospects could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 parties to conduct and perform most of our research, preclinical studies and clinical trials. If these third parties do not satisfactorily carry out their contractual duties, fail to comply with applicable regulatory requirements, fail to meet projected clinical trial enrollment schedules or fail to meet expected deadlines, our development programs may be delayed or subject to increased costs, each of which may have an adverse effect on our business and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contract with third parties for the manufacturing and supply of certain goods and services for our product candidates for use in preclinical studies and clinical trials, which supply may become limited or interrupted or may not be of satisfactory quality and quantity.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approved product candidates may fail to achieve the degree of market acceptance by physicians, patients, hospitals, healthcare payors and others in the medical community necessary for commercial success.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successfully commercialize our product candidates due to unfavorable pricing regulations or third-party coverage and reimbursement policies, which could make it difficult for us to sell our product candidates profitably.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and retaining highly qualified personnel, we may not be able to continue to successfully develop or commercialize our product candidates or otherwise implement our business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obtain and maintain sufficient intellectual property protection for Auxora, our other product candidates, and other proprietary technologies we develop, or if the scope of the intellectual property protection obtained is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sufficiently broad, our competitors could develop and commercialize products similar or identical to ours, and our ability to successfully commercialize Auxora, any future product candidates, and other proprietary technologies if approved, may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operations subject us to disputes, claims and lawsuits, which may be costly and time-consuming and could materially and adversely impact our financial position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International trade policies, including tariffs, sanctions and trade barriers may adversely affect our business, financial condition, results of operations and prospects.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left"/>
        <w:rPr/>
      </w:pPr>
      <w:r>
        <w:rPr/>
        <w:t> </w:t>
      </w:r>
    </w:p>
    <w:tbl>
      <w:tblPr>
        <w:tblW w:w="9384" w:type="dxa"/>
        <w:jc w:val="left"/>
        <w:tblInd w:w="0" w:type="dxa"/>
        <w:tblLayout w:type="fixed"/>
        <w:tblCellMar>
          <w:top w:w="28" w:type="dxa"/>
          <w:left w:w="28" w:type="dxa"/>
          <w:bottom w:w="28" w:type="dxa"/>
          <w:right w:w="28" w:type="dxa"/>
        </w:tblCellMar>
      </w:tblPr>
      <w:tblGrid>
        <w:gridCol w:w="811"/>
        <w:gridCol w:w="636"/>
        <w:gridCol w:w="7366"/>
        <w:gridCol w:w="571"/>
      </w:tblGrid>
      <w:tr>
        <w:trPr/>
        <w:tc>
          <w:tcPr>
            <w:tcW w:w="81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bottom w:val="single" w:sz="2"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statements_operations">
              <w:r>
                <w:rPr>
                  <w:rStyle w:val="InternetLink"/>
                  <w:rFonts w:ascii="Times New Roman" w:hAnsi="Times New Roman"/>
                  <w:color w:val="0000FF"/>
                  <w:sz w:val="20"/>
                  <w:u w:val="single"/>
                </w:rPr>
                <w:t>Condensed Consolidated Statements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comp_loss">
              <w:r>
                <w:rPr>
                  <w:rStyle w:val="InternetLink"/>
                  <w:rFonts w:ascii="Times New Roman" w:hAnsi="Times New Roman"/>
                  <w:color w:val="0000FF"/>
                  <w:sz w:val="20"/>
                  <w:u w:val="single"/>
                </w:rPr>
                <w:t>Condensed Consolidated Statements of Comprehensive Income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s_stockh">
              <w:r>
                <w:rPr>
                  <w:rStyle w:val="InternetLink"/>
                  <w:rFonts w:ascii="Times New Roman" w:hAnsi="Times New Roman"/>
                  <w:color w:val="0000FF"/>
                  <w:sz w:val="20"/>
                  <w:u w:val="single"/>
                </w:rPr>
                <w:t>Condensed Consolidated Statements of Stockholders’ Equity (Deficit)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statements_cash_flows">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s_to_condensed_financial_statements">
              <w:r>
                <w:rPr>
                  <w:rStyle w:val="InternetLink"/>
                  <w:rFonts w:ascii="Times New Roman" w:hAnsi="Times New Roman"/>
                  <w:color w:val="0000FF"/>
                  <w:sz w:val="20"/>
                  <w:u w:val="single"/>
                </w:rPr>
                <w:t>Notes to the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_or_information">
              <w:r>
                <w:rPr>
                  <w:rStyle w:val="InternetLink"/>
                  <w:rFonts w:ascii="Times New Roman" w:hAnsi="Times New Roman"/>
                  <w:b/>
                  <w:color w:val="0000FF"/>
                  <w:sz w:val="20"/>
                  <w:u w:val="single"/>
                </w:rPr>
                <w:t>PART II—OTHER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I—FINANCIAL INFORMATION</w:t>
      </w:r>
    </w:p>
    <w:p>
      <w:pPr>
        <w:pStyle w:val="TextBody"/>
        <w:bidi w:val="0"/>
        <w:jc w:val="both"/>
        <w:rPr>
          <w:rFonts w:ascii="Times New Roman" w:hAnsi="Times New Roman"/>
          <w:sz w:val="20"/>
        </w:rPr>
      </w:pPr>
      <w:bookmarkStart w:id="3" w:name="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CALCIMEDICA, INC.</w:t>
      </w:r>
    </w:p>
    <w:p>
      <w:pPr>
        <w:pStyle w:val="TextBody"/>
        <w:bidi w:val="0"/>
        <w:jc w:val="center"/>
        <w:rPr>
          <w:rFonts w:ascii="Times New Roman" w:hAnsi="Times New Roman"/>
          <w:sz w:val="20"/>
        </w:rPr>
      </w:pPr>
      <w:bookmarkStart w:id="4" w:name="condensed_balance_sheets"/>
      <w:bookmarkEnd w:id="4"/>
      <w:r>
        <w:rPr>
          <w:rFonts w:ascii="Times New Roman" w:hAnsi="Times New Roman"/>
          <w:b/>
          <w:color w:val="000000"/>
          <w:sz w:val="20"/>
        </w:rPr>
        <w:t>Condensed</w:t>
      </w:r>
      <w:r>
        <w:rPr>
          <w:rFonts w:ascii="Times New Roman" w:hAnsi="Times New Roman"/>
          <w:color w:val="000000"/>
          <w:sz w:val="20"/>
        </w:rPr>
        <w:t xml:space="preserve"> </w:t>
      </w: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par value and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186"/>
        <w:gridCol w:w="146"/>
        <w:gridCol w:w="196"/>
        <w:gridCol w:w="751"/>
        <w:gridCol w:w="166"/>
        <w:gridCol w:w="146"/>
        <w:gridCol w:w="207"/>
        <w:gridCol w:w="795"/>
        <w:gridCol w:w="612"/>
      </w:tblGrid>
      <w:tr>
        <w:trPr/>
        <w:tc>
          <w:tcPr>
            <w:tcW w:w="7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clinical trial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prepaid expenses and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13,591</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clinical trial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3,782</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20,232</w:t>
            </w:r>
          </w:p>
        </w:tc>
        <w:tc>
          <w:tcPr>
            <w:tcW w:w="6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$0.0001</w:t>
            </w:r>
            <w:r>
              <w:rPr>
                <w:rFonts w:ascii="Times New Roman" w:hAnsi="Times New Roman"/>
                <w:color w:val="000000"/>
                <w:sz w:val="20"/>
              </w:rPr>
              <w:t> </w:t>
            </w:r>
            <w:r>
              <w:rPr>
                <w:rFonts w:ascii="Times New Roman" w:hAnsi="Times New Roman"/>
                <w:color w:val="000000"/>
                <w:sz w:val="16"/>
              </w:rPr>
              <w:t>par value; 10,000,000</w:t>
            </w:r>
            <w:r>
              <w:rPr>
                <w:rFonts w:ascii="Times New Roman" w:hAnsi="Times New Roman"/>
                <w:color w:val="000000"/>
                <w:sz w:val="20"/>
              </w:rPr>
              <w:t> </w:t>
            </w:r>
            <w:r>
              <w:rPr>
                <w:rFonts w:ascii="Times New Roman" w:hAnsi="Times New Roman"/>
                <w:color w:val="000000"/>
                <w:sz w:val="16"/>
              </w:rPr>
              <w:t>shares authorized at March 31, 2026 and December 31, 2025, respectively; no</w:t>
            </w:r>
            <w:r>
              <w:rPr>
                <w:rFonts w:ascii="Times New Roman" w:hAnsi="Times New Roman"/>
                <w:color w:val="000000"/>
                <w:sz w:val="20"/>
              </w:rPr>
              <w:t> </w:t>
            </w:r>
            <w:r>
              <w:rPr>
                <w:rFonts w:ascii="Times New Roman" w:hAnsi="Times New Roman"/>
                <w:color w:val="000000"/>
                <w:sz w:val="16"/>
              </w:rPr>
              <w:t>shares issued and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$0.0001</w:t>
            </w:r>
            <w:r>
              <w:rPr>
                <w:rFonts w:ascii="Times New Roman" w:hAnsi="Times New Roman"/>
                <w:color w:val="000000"/>
                <w:sz w:val="20"/>
              </w:rPr>
              <w:t> </w:t>
            </w:r>
            <w:r>
              <w:rPr>
                <w:rFonts w:ascii="Times New Roman" w:hAnsi="Times New Roman"/>
                <w:color w:val="000000"/>
                <w:sz w:val="16"/>
              </w:rPr>
              <w:t>par value; 500,000,000</w:t>
            </w:r>
            <w:r>
              <w:rPr>
                <w:rFonts w:ascii="Times New Roman" w:hAnsi="Times New Roman"/>
                <w:color w:val="000000"/>
                <w:sz w:val="20"/>
              </w:rPr>
              <w:t> </w:t>
            </w:r>
            <w:r>
              <w:rPr>
                <w:rFonts w:ascii="Times New Roman" w:hAnsi="Times New Roman"/>
                <w:color w:val="000000"/>
                <w:sz w:val="16"/>
              </w:rPr>
              <w:t>shares authorized at March 31, 2026 and December 31, 2025, respectively; 15,746,416</w:t>
            </w:r>
            <w:r>
              <w:rPr>
                <w:rFonts w:ascii="Times New Roman" w:hAnsi="Times New Roman"/>
                <w:color w:val="000000"/>
                <w:sz w:val="20"/>
              </w:rPr>
              <w:t> </w:t>
            </w:r>
            <w:r>
              <w:rPr>
                <w:rFonts w:ascii="Times New Roman" w:hAnsi="Times New Roman"/>
                <w:color w:val="000000"/>
                <w:sz w:val="16"/>
              </w:rPr>
              <w:t>and 15,437,410, issued and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182,681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(189,326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(6,641</w:t>
            </w:r>
          </w:p>
        </w:tc>
        <w:tc>
          <w:tcPr>
            <w:tcW w:w="612"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13,591</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CALCIMEDICA, INC.</w:t>
      </w:r>
    </w:p>
    <w:p>
      <w:pPr>
        <w:pStyle w:val="TextBody"/>
        <w:bidi w:val="0"/>
        <w:jc w:val="center"/>
        <w:rPr>
          <w:rFonts w:ascii="Times New Roman" w:hAnsi="Times New Roman"/>
          <w:b/>
          <w:color w:val="000000"/>
          <w:sz w:val="20"/>
        </w:rPr>
      </w:pPr>
      <w:bookmarkStart w:id="5" w:name="condensed_statements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7009" w:type="dxa"/>
        <w:jc w:val="left"/>
        <w:tblInd w:w="0" w:type="dxa"/>
        <w:tblLayout w:type="fixed"/>
        <w:tblCellMar>
          <w:top w:w="28" w:type="dxa"/>
          <w:left w:w="28" w:type="dxa"/>
          <w:bottom w:w="28" w:type="dxa"/>
          <w:right w:w="28" w:type="dxa"/>
        </w:tblCellMar>
      </w:tblPr>
      <w:tblGrid>
        <w:gridCol w:w="3736"/>
        <w:gridCol w:w="146"/>
        <w:gridCol w:w="196"/>
        <w:gridCol w:w="916"/>
        <w:gridCol w:w="166"/>
        <w:gridCol w:w="146"/>
        <w:gridCol w:w="196"/>
        <w:gridCol w:w="916"/>
        <w:gridCol w:w="5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used in computing 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15,822,163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14,121,569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16,328,947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14,121,569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6" w:name="condensed_consolidated_comp_loss"/>
      <w:bookmarkEnd w:id="6"/>
      <w:r>
        <w:rPr>
          <w:rFonts w:ascii="Times New Roman" w:hAnsi="Times New Roman"/>
          <w:b/>
          <w:color w:val="000000"/>
          <w:sz w:val="20"/>
        </w:rPr>
        <w:t>CALCIMEDICA,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Comprehensive Income (Loss)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6730" w:type="dxa"/>
        <w:jc w:val="left"/>
        <w:tblInd w:w="0" w:type="dxa"/>
        <w:tblLayout w:type="fixed"/>
        <w:tblCellMar>
          <w:top w:w="28" w:type="dxa"/>
          <w:left w:w="28" w:type="dxa"/>
          <w:bottom w:w="28" w:type="dxa"/>
          <w:right w:w="28" w:type="dxa"/>
        </w:tblCellMar>
      </w:tblPr>
      <w:tblGrid>
        <w:gridCol w:w="3976"/>
        <w:gridCol w:w="146"/>
        <w:gridCol w:w="264"/>
        <w:gridCol w:w="715"/>
        <w:gridCol w:w="182"/>
        <w:gridCol w:w="182"/>
        <w:gridCol w:w="264"/>
        <w:gridCol w:w="790"/>
        <w:gridCol w:w="21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available-for-sale securities, </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CALCIMEDICA, INC.</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464"/>
        <w:gridCol w:w="146"/>
        <w:gridCol w:w="146"/>
        <w:gridCol w:w="1036"/>
        <w:gridCol w:w="146"/>
        <w:gridCol w:w="146"/>
        <w:gridCol w:w="261"/>
        <w:gridCol w:w="430"/>
        <w:gridCol w:w="146"/>
        <w:gridCol w:w="146"/>
        <w:gridCol w:w="211"/>
        <w:gridCol w:w="781"/>
        <w:gridCol w:w="146"/>
        <w:gridCol w:w="146"/>
        <w:gridCol w:w="211"/>
        <w:gridCol w:w="841"/>
        <w:gridCol w:w="166"/>
        <w:gridCol w:w="146"/>
        <w:gridCol w:w="269"/>
        <w:gridCol w:w="808"/>
        <w:gridCol w:w="413"/>
      </w:tblGrid>
      <w:tr>
        <w:trPr/>
        <w:tc>
          <w:tcPr>
            <w:tcW w:w="3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15,437,410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from exercise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15,746,416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CALCIMEDICA,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73"/>
        <w:gridCol w:w="146"/>
        <w:gridCol w:w="146"/>
        <w:gridCol w:w="1036"/>
        <w:gridCol w:w="146"/>
        <w:gridCol w:w="146"/>
        <w:gridCol w:w="261"/>
        <w:gridCol w:w="430"/>
        <w:gridCol w:w="146"/>
        <w:gridCol w:w="146"/>
        <w:gridCol w:w="211"/>
        <w:gridCol w:w="781"/>
        <w:gridCol w:w="146"/>
        <w:gridCol w:w="146"/>
        <w:gridCol w:w="211"/>
        <w:gridCol w:w="841"/>
        <w:gridCol w:w="166"/>
        <w:gridCol w:w="146"/>
        <w:gridCol w:w="460"/>
        <w:gridCol w:w="756"/>
        <w:gridCol w:w="166"/>
        <w:gridCol w:w="146"/>
        <w:gridCol w:w="247"/>
        <w:gridCol w:w="794"/>
        <w:gridCol w:w="412"/>
      </w:tblGrid>
      <w:tr>
        <w:trPr/>
        <w:tc>
          <w:tcPr>
            <w:tcW w:w="1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13,481,917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shares from underwritten public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from at-the-market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13,971,990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10,888</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CALCIMEDICA, INC.</w:t>
      </w:r>
    </w:p>
    <w:p>
      <w:pPr>
        <w:pStyle w:val="TextBody"/>
        <w:bidi w:val="0"/>
        <w:jc w:val="center"/>
        <w:rPr>
          <w:rFonts w:ascii="Times New Roman" w:hAnsi="Times New Roman"/>
          <w:b/>
          <w:color w:val="000000"/>
          <w:sz w:val="20"/>
        </w:rPr>
      </w:pPr>
      <w:bookmarkStart w:id="8" w:name="condensed_statements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54"/>
        <w:gridCol w:w="146"/>
        <w:gridCol w:w="241"/>
        <w:gridCol w:w="776"/>
        <w:gridCol w:w="190"/>
        <w:gridCol w:w="167"/>
        <w:gridCol w:w="241"/>
        <w:gridCol w:w="776"/>
        <w:gridCol w:w="814"/>
      </w:tblGrid>
      <w:tr>
        <w:trPr/>
        <w:tc>
          <w:tcPr>
            <w:tcW w:w="6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the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the fair value of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Promissory note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other current and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19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8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Maturity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5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9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8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promissory note,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from ATM Facility,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12,556</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purchases included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CALCIMEDICA, INC.</w:t>
      </w:r>
    </w:p>
    <w:p>
      <w:pPr>
        <w:pStyle w:val="TextBody"/>
        <w:bidi w:val="0"/>
        <w:jc w:val="center"/>
        <w:rPr>
          <w:rFonts w:ascii="Times New Roman" w:hAnsi="Times New Roman"/>
          <w:b/>
          <w:color w:val="000000"/>
          <w:sz w:val="20"/>
        </w:rPr>
      </w:pPr>
      <w:bookmarkStart w:id="9" w:name="notes_to_condensed_financial_statements"/>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Nature of Business</w:t>
      </w:r>
    </w:p>
    <w:p>
      <w:pPr>
        <w:pStyle w:val="TextBody"/>
        <w:bidi w:val="0"/>
        <w:spacing w:before="120" w:after="283"/>
        <w:jc w:val="both"/>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CalciMedica, Inc. (“CalciMedica” or the “Company”) (f/k/a Graybug Vision, Inc.) was incorporated in the state of Delaware in February 2015, following the conversion of Graybug, LLC, which was organized in May 2011, and has its principal operations in La Jolla, California. The Company is a clinical-stage biopharmaceutical company focused on developing therapeutics that treat serious illnesses driven by inflammatory processes and direct cellular damage. The Company had a wholly owned subsidiary, CalciMedica Subsidiary, Inc., incorporated in Delaware in October 2006, which survived the Merger as more fully described below. The CalciMedica Subsidiary entity was dissolved and combined with the Company as of December 31, 2024.</w:t>
      </w:r>
    </w:p>
    <w:p>
      <w:pPr>
        <w:pStyle w:val="TextBody"/>
        <w:bidi w:val="0"/>
        <w:spacing w:before="120" w:after="283"/>
        <w:jc w:val="both"/>
        <w:rPr>
          <w:rFonts w:ascii="Times New Roman" w:hAnsi="Times New Roman"/>
          <w:sz w:val="20"/>
        </w:rPr>
      </w:pPr>
      <w:r>
        <w:rPr>
          <w:rFonts w:ascii="Times New Roman" w:hAnsi="Times New Roman"/>
          <w:b/>
          <w:i/>
          <w:color w:val="000000"/>
          <w:sz w:val="20"/>
        </w:rPr>
        <w:t>Reverse Merger Transaction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20, 2023, Graybug Vision, Inc. (“Graybug”) completed a reverse merger transaction in accordance with the terms and conditions of the Agreement and Plan of Merger and Reorganization, dated as of November 21, 2022, as amended on February 10, 2023 (the “Merger Agreement”), by and among Graybug, Camaro Merger Sub, Inc., a wholly owned subsidiary of Graybug (“Merger Sub”), and CalciMedica, Inc. (“Private CalciMedica”), pursuant to which Merger Sub merged with and into Private CalciMedica, with Private CalciMedica surviving as a wholly owned subsidiary of Graybug (the “Merger”). Additionally, on March 20, 2023, Graybug changed its name from “Graybug Vision, Inc.” to “CalciMedica, Inc.” and Private CalciMedica changed its name from “CalciMedica, Inc.” to “CalciMedica Subsidiary, Inc.” At the completion of the Merger, the prior Private CalciMedica equity holders and the prior Graybug equity holders owned 72% and 28%, respectively, of the combined company, in each case, on a fully diluted basis using the treasury stock method and excluding out-of-the-money options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Merger was accounted for as a reverse recapitalization, with Private CalciMedica being treated as the acquirer for accounting purposes.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Liquidity and Need for Additional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experienced net losses and negative cash flows from operating activities since its inception. The Company has an accumulated deficit of $184.4 million as of March 31, 2026 and net income of $5.0 million for the three months ended March 31, 2026. Substantially all of the Company’s operating losses resulted from expenses incurred in connection with its research and development programs and from general and administrative costs associated with its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expects to incur significant expenses and increasing operating losses for the foreseeable future as the Company initiates and continues the preclinical and clinical development of its product candidates and adds personnel necessary to operate as a company with an advanced clinical pipeline of product candidates. The Company expects that its operating losses will fluctuate significantly from quarter-to-quarter and year-to-year due to timing of clinical development programs.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inception to March 31, 2026, the Company has completed financings from the sale of preferred and common stock for total net proceeds of $146.2 million and has issued convertible promissory notes and promissory notes for net proceeds of $18.3 million. In connection with the Merger, the Company received approximately $29.4 million of cash, cash equivalents and short-term investments. At March 31, 2026, the Company had cash and cash equivalents of approximately $8.2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intends to seek additional funding through public and private financings, debt financings, collaboration agreements, strategic alliances and licensing agreements. Although the Company has been successful in raising capital in the past, there is no assurance of success in obtaining such additional financing on terms acceptable to us, if at all, and there is no assurance that the Company will be able to enter into collaborations or other arrangements. In addition, the terms of the Loan and Security Agreement and the Supplement to the Loan and Security Agreement (together, the “Loan Agreement”), dated as of February 28, 2025, by and among the Company, Avenue Venture Opportunities Fund II, L.P. (“Lender”) and Avenue Capital Management II, L.P., as administrative agent and collateral agent (the “Collateral Agent”), contain certain restrictions on incurring additional indebtedness. If the Company is unable to obtain funding when required or on acceptable terms, the Company may be required to scale back or discontinue the advancement of the product candidates, reduce headcount, file for bankruptcy, reorganize, merge with another entity or cease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Company’s current operating plans, management believes its cash and cash equivalents may not be sufficient to fund its operations for a period of one year following the issuance of these financial statements. As a result, there is substantial doubt about the Company’s ability to continue as a going concern. The unaudited condensed consolidated financial statements have been prepared on a basis which assumes we are a going concern and does not include any adjustments to reflect the possible future effects on the recoverability and classification of assets or the amounts and classifications of liabilities that may result from any uncertainty related to our ability to continue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Company becomes unable to continue as a going concern, it may have to liquidate its assets, and might realize significantly less than the values at which they are carried on its financial statements, and stockholders may lose all or part of their investment in the Company’s common stock.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in conformity with U.S. generally accepted accounting principles (“U.S. GAAP”). Any reference in these notes to applicable guidance is meant to refer to the authoritative U.S. GAAP as found in the Accounting Standards Codification (“ASC”), and Accounting Standards Update (“ASU”), of the Financial Accounting Standards Board (“FASB”). </w:t>
      </w:r>
    </w:p>
    <w:p>
      <w:pPr>
        <w:pStyle w:val="TextBody"/>
        <w:bidi w:val="0"/>
        <w:spacing w:before="120" w:after="283"/>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the Company’s unaudited condensed consolidated financial statements requires management to make estimates and assumptions that impact the reported amounts of assets, liabilities and expenses and the disclosure of contingent assets and liabilities in the Company’s unaudited condensed consolidated financial statements and accompanying notes. The most significant estimates in the Company’s unaudited condensed consolidated financial statements relate to accruals for research and development expenses, valuation of promissory notes, valuation of warrants and valuation of equity awards.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which potentially subject the Company to concentration of risk, consist principally of cash and cash equivalents. The Company’s cash is deposited with major federally insured U.S. financial institutions. The Company has no off-balance sheet concentrations of credit risk, such as foreign currency exchange contracts, option contracts or other hedging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dependent on contract manufacturing organizations (“CMO”) to supply products for research and development of its product candidates, including preclinical and clinical studies, and for commercialization of its product candidates, if approved. The Company’s development programs could be adversely affected by any significant interruption in CMO operations or by a significant interruption in the supply of active pharmaceutical ingredients and other components.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Products developed by the Company require approval from the U.S. Food and Drug Administration (“FDA”) or other international regulatory agencies prior to commercial sales. There can be no assurance the Company’s product candidates will receive the necessary approvals. If the Company is denied approvals, approvals are delayed, or the Company is unable to maintain approvals received, such events could have a materially adverse impact on the Company.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and cash equivalents consist of readily available cash in checking accounts, money market funds, commercial paper and U.S. government sponsored entities, such as mortgage-backed securities. The Company considers all highly liquid investments with an original maturity of three months or less from the date of purchase to be cash equivalents.</w:t>
      </w:r>
    </w:p>
    <w:p>
      <w:pPr>
        <w:pStyle w:val="TextBody"/>
        <w:bidi w:val="0"/>
        <w:spacing w:before="120" w:after="283"/>
        <w:jc w:val="both"/>
        <w:rPr>
          <w:rFonts w:ascii="Times New Roman" w:hAnsi="Times New Roman"/>
          <w:sz w:val="20"/>
        </w:rPr>
      </w:pPr>
      <w:r>
        <w:rPr>
          <w:rFonts w:ascii="Times New Roman" w:hAnsi="Times New Roman"/>
          <w:b/>
          <w:i/>
          <w:color w:val="000000"/>
          <w:sz w:val="20"/>
        </w:rPr>
        <w:t>Short-term Investments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invests excess cash in commercial paper and U.S. government sponsored entities, such as mortgage-backed securities. These investments are included in short-term investments on the balance sheet, classified as available-for-sale and reported at fair value with unrealized gains and losses included in accumulated other comprehensive loss. Realized gains and losses on the sale of these securities are recognized in net gain (loss) in other income (expense) in the unaudited condensed consolidated statements of operations.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manages its operations as a single segment for the purposes of assessing performance and making operating decisions. The financial information is regularly reviewed by the chief operating decision maker (“CODM”), in deciding how to allocate resources. The Company’s CODM is its chief executive officer. The Company’s singular focus is on developing highly selective calcium release-activated calcium channel inhibitors to improve outcomes for patients with serious disease driven by inflammatory and immunologic processes and direct cellular damage. No revenue has been generated since inception, and all tangible assets are held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operates as one operating segment focused on developing and commercializing innovative therapeutics primarily in the U.S. The accounting policies of the segment are the same as those described in the summary of significant accounting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determination of a single business segment is consistent with the consolidated financial information regularly reviewed by the chief executive officer, who is the Company's CODM, in assessing segment performance and deciding how to allocate resources on a consolidated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CODM makes decisions on resource allocation, assesses performance of the business, and monitors budget versus actual results using income from operations. Net loss is also a measure that is considered in monitoring budget versus actual results. The measure of segment assets is reported on the unaudited condensed consolidated balance sheets as total assets.</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information about reported segment loss and significant segment expenses for the three months ended March 31, 2026 and 2025 (in thousands):</w:t>
      </w:r>
    </w:p>
    <w:p>
      <w:pPr>
        <w:pStyle w:val="TextBody"/>
        <w:bidi w:val="0"/>
        <w:jc w:val="left"/>
        <w:rPr/>
      </w:pPr>
      <w:r>
        <w:rPr/>
        <w:t> </w:t>
      </w:r>
    </w:p>
    <w:tbl>
      <w:tblPr>
        <w:tblW w:w="6289" w:type="dxa"/>
        <w:jc w:val="left"/>
        <w:tblInd w:w="0" w:type="dxa"/>
        <w:tblLayout w:type="fixed"/>
        <w:tblCellMar>
          <w:top w:w="28" w:type="dxa"/>
          <w:left w:w="28" w:type="dxa"/>
          <w:bottom w:w="28" w:type="dxa"/>
          <w:right w:w="28" w:type="dxa"/>
        </w:tblCellMar>
      </w:tblPr>
      <w:tblGrid>
        <w:gridCol w:w="3336"/>
        <w:gridCol w:w="146"/>
        <w:gridCol w:w="254"/>
        <w:gridCol w:w="742"/>
        <w:gridCol w:w="215"/>
        <w:gridCol w:w="189"/>
        <w:gridCol w:w="254"/>
        <w:gridCol w:w="742"/>
        <w:gridCol w:w="411"/>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Segment research and development </w:t>
            </w:r>
            <w:r>
              <w:rPr>
                <w:rFonts w:ascii="Times New Roman" w:hAnsi="Times New Roman"/>
                <w:i/>
                <w:color w:val="000000"/>
                <w:sz w:val="18"/>
              </w:rPr>
              <w:t>(a)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Segment general and administrative </w:t>
            </w:r>
            <w:r>
              <w:rPr>
                <w:rFonts w:ascii="Times New Roman" w:hAnsi="Times New Roman"/>
                <w:i/>
                <w:color w:val="000000"/>
                <w:sz w:val="18"/>
              </w:rPr>
              <w:t>(a)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(see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Reconciliation of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and reconciling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Consolidated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(5,611</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rFonts w:ascii="Times New Roman" w:hAnsi="Times New Roman"/>
          <w:sz w:val="20"/>
        </w:rPr>
      </w:pPr>
      <w:r>
        <w:rPr>
          <w:rFonts w:ascii="Times New Roman" w:hAnsi="Times New Roman"/>
          <w:i/>
          <w:color w:val="000000"/>
          <w:sz w:val="20"/>
        </w:rPr>
        <w:t>Stock-based compensation expense of $220,000</w:t>
      </w:r>
      <w:r>
        <w:rPr>
          <w:rFonts w:ascii="Times New Roman" w:hAnsi="Times New Roman"/>
          <w:color w:val="000000"/>
          <w:sz w:val="20"/>
        </w:rPr>
        <w:t xml:space="preserve"> </w:t>
      </w:r>
      <w:r>
        <w:rPr>
          <w:rFonts w:ascii="Times New Roman" w:hAnsi="Times New Roman"/>
          <w:i/>
          <w:color w:val="000000"/>
          <w:sz w:val="20"/>
        </w:rPr>
        <w:t>and $177,000</w:t>
      </w:r>
      <w:r>
        <w:rPr>
          <w:rFonts w:ascii="Times New Roman" w:hAnsi="Times New Roman"/>
          <w:color w:val="000000"/>
          <w:sz w:val="20"/>
        </w:rPr>
        <w:t xml:space="preserve"> </w:t>
      </w:r>
      <w:r>
        <w:rPr>
          <w:rFonts w:ascii="Times New Roman" w:hAnsi="Times New Roman"/>
          <w:i/>
          <w:color w:val="000000"/>
          <w:sz w:val="20"/>
        </w:rPr>
        <w:t>related to research and development and $341,000</w:t>
      </w:r>
      <w:r>
        <w:rPr>
          <w:rFonts w:ascii="Times New Roman" w:hAnsi="Times New Roman"/>
          <w:color w:val="000000"/>
          <w:sz w:val="20"/>
        </w:rPr>
        <w:t xml:space="preserve"> </w:t>
      </w:r>
      <w:r>
        <w:rPr>
          <w:rFonts w:ascii="Times New Roman" w:hAnsi="Times New Roman"/>
          <w:i/>
          <w:color w:val="000000"/>
          <w:sz w:val="20"/>
        </w:rPr>
        <w:t>and $372,000, related to general and administration have been excluded for the three months ended March 31, 2026 and 2025, respectively.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both"/>
        <w:rPr>
          <w:rFonts w:ascii="Times New Roman" w:hAnsi="Times New Roman"/>
          <w:sz w:val="20"/>
        </w:rPr>
      </w:pPr>
      <w:r>
        <w:rPr>
          <w:rFonts w:ascii="Times New Roman" w:hAnsi="Times New Roman"/>
          <w:i/>
          <w:color w:val="000000"/>
          <w:sz w:val="20"/>
        </w:rPr>
        <w:t>Depreciation expense of $4,000</w:t>
      </w:r>
      <w:r>
        <w:rPr>
          <w:rFonts w:ascii="Times New Roman" w:hAnsi="Times New Roman"/>
          <w:color w:val="000000"/>
          <w:sz w:val="20"/>
        </w:rPr>
        <w:t xml:space="preserve"> </w:t>
      </w:r>
      <w:r>
        <w:rPr>
          <w:rFonts w:ascii="Times New Roman" w:hAnsi="Times New Roman"/>
          <w:i/>
          <w:color w:val="000000"/>
          <w:sz w:val="20"/>
        </w:rPr>
        <w:t>and $7,000</w:t>
      </w:r>
      <w:r>
        <w:rPr>
          <w:rFonts w:ascii="Times New Roman" w:hAnsi="Times New Roman"/>
          <w:color w:val="000000"/>
          <w:sz w:val="20"/>
        </w:rPr>
        <w:t xml:space="preserve"> </w:t>
      </w:r>
      <w:r>
        <w:rPr>
          <w:rFonts w:ascii="Times New Roman" w:hAnsi="Times New Roman"/>
          <w:i/>
          <w:color w:val="000000"/>
          <w:sz w:val="20"/>
        </w:rPr>
        <w:t>related to research and development and $3,000</w:t>
      </w:r>
      <w:r>
        <w:rPr>
          <w:rFonts w:ascii="Times New Roman" w:hAnsi="Times New Roman"/>
          <w:color w:val="000000"/>
          <w:sz w:val="20"/>
        </w:rPr>
        <w:t xml:space="preserve"> </w:t>
      </w:r>
      <w:r>
        <w:rPr>
          <w:rFonts w:ascii="Times New Roman" w:hAnsi="Times New Roman"/>
          <w:i/>
          <w:color w:val="000000"/>
          <w:sz w:val="20"/>
        </w:rPr>
        <w:t>and $8,000, related general and administration have been excluded for the three months ended March 31, 2026 and 2025, respectively.</w:t>
      </w:r>
    </w:p>
    <w:p>
      <w:pPr>
        <w:pStyle w:val="TextBody"/>
        <w:bidi w:val="0"/>
        <w:spacing w:before="120" w:after="283"/>
        <w:jc w:val="both"/>
        <w:rPr>
          <w:rFonts w:ascii="Times New Roman" w:hAnsi="Times New Roman"/>
          <w:sz w:val="20"/>
        </w:rPr>
      </w:pPr>
      <w:r>
        <w:rPr>
          <w:rFonts w:ascii="Times New Roman" w:hAnsi="Times New Roman"/>
          <w:b/>
          <w:i/>
          <w:color w:val="000000"/>
          <w:sz w:val="20"/>
        </w:rPr>
        <w:t>Fair Value Promissory Note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permitted under ASC 825, </w:t>
      </w:r>
      <w:r>
        <w:rPr>
          <w:rFonts w:ascii="Times New Roman" w:hAnsi="Times New Roman"/>
          <w:i/>
          <w:color w:val="000000"/>
          <w:sz w:val="20"/>
        </w:rPr>
        <w:t>Financial Instruments</w:t>
      </w:r>
      <w:r>
        <w:rPr>
          <w:rFonts w:ascii="Times New Roman" w:hAnsi="Times New Roman"/>
          <w:color w:val="000000"/>
          <w:sz w:val="20"/>
        </w:rPr>
        <w:t>, the Company has elected the fair value option to account for its promissory note due to certain embedded features within the notes. The Company recognizes the promissory note at fair value with changes in fair value recognized in the unaudited condensed consolidated statements of operations located on the change in fair value of financial instruments line item. Changes in fair value as a result of the Company’s own credit risk is reflected in other income in the unaudited condensed consolidated statements of operations. As a result of applying the fair value option, direct costs and fees related to the promissory note were expensed as incurred and not deferred (see Note 3).</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leases office space with an original lease term of twelve months and does not have a right-of-use asset or lease liability recorded. The Company's policy is not to record leases with an original term of twelve months or less on the unaudited condensed consolidated balance sheets. The Company recognizes lease expense for this short-term lease on a straight-line basis over the term of the lease. The lease is accounted for under ASC 842, </w:t>
      </w:r>
      <w:r>
        <w:rPr>
          <w:rFonts w:ascii="Times New Roman" w:hAnsi="Times New Roman"/>
          <w:i/>
          <w:color w:val="000000"/>
          <w:sz w:val="20"/>
        </w:rPr>
        <w:t>Leases</w:t>
      </w:r>
      <w:r>
        <w:rPr>
          <w:rFonts w:ascii="Times New Roman" w:hAnsi="Times New Roman"/>
          <w:color w:val="000000"/>
          <w:sz w:val="20"/>
        </w:rPr>
        <w:t>, and has been classified as an operating lease. Rent expense recognized was $31,000 and $30,000 for the three months ended March 31, 2026 and 2025, respectively.</w:t>
      </w:r>
    </w:p>
    <w:p>
      <w:pPr>
        <w:pStyle w:val="TextBody"/>
        <w:bidi w:val="0"/>
        <w:spacing w:before="120" w:after="283"/>
        <w:jc w:val="both"/>
        <w:rPr>
          <w:rFonts w:ascii="Times New Roman" w:hAnsi="Times New Roman"/>
          <w:sz w:val="20"/>
        </w:rPr>
      </w:pPr>
      <w:r>
        <w:rPr>
          <w:rFonts w:ascii="Times New Roman" w:hAnsi="Times New Roman"/>
          <w:b/>
          <w:i/>
          <w:color w:val="000000"/>
          <w:sz w:val="20"/>
        </w:rPr>
        <w:t>Research and Development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costs consist primarily of salaries, payroll taxes, employee benefits and stock-based compensation for those individuals involved in ongoing research and development efforts, as well as fees paid to consultants, external research fees, license fees paid to third parties for use of their intellectual property, laboratory supplies and development of compound materials, associated overhead expenses and facilities and depreciation costs. Nonrefundable advance payments for goods and services that will be used in future research and development activities are expensed when the activity has been performed or when the goods have been received rather than when the payment is made. All research and development costs are expensed as incurred.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estimates preclinical studies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 These estimates are based on communications with the third-party service providers, and on information available at each balance sheet date. If the actual timing of the performance of services or the level of effort varies from the estimate, the Company will adjust the accrual accordingly. The estimates are trued up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 </w:t>
      </w:r>
    </w:p>
    <w:p>
      <w:pPr>
        <w:pStyle w:val="TextBody"/>
        <w:bidi w:val="0"/>
        <w:spacing w:before="120" w:after="283"/>
        <w:jc w:val="both"/>
        <w:rPr>
          <w:rFonts w:ascii="Times New Roman" w:hAnsi="Times New Roman"/>
          <w:sz w:val="20"/>
        </w:rPr>
      </w:pPr>
      <w:r>
        <w:rPr>
          <w:rFonts w:ascii="Times New Roman" w:hAnsi="Times New Roman"/>
          <w:b/>
          <w:i/>
          <w:color w:val="000000"/>
          <w:sz w:val="20"/>
        </w:rPr>
        <w:t>General and Administrative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related benefits, including stock-based compensation, related to executive, finance, business development, legal, human resources and support functions, including professional fees for auditing, tax, consulting and patent-related services, rent, utilities and insurance. </w:t>
      </w:r>
    </w:p>
    <w:p>
      <w:pPr>
        <w:pStyle w:val="TextBody"/>
        <w:bidi w:val="0"/>
        <w:spacing w:before="120" w:after="283"/>
        <w:jc w:val="both"/>
        <w:rPr>
          <w:rFonts w:ascii="Times New Roman" w:hAnsi="Times New Roman"/>
          <w:sz w:val="20"/>
        </w:rPr>
      </w:pPr>
      <w:r>
        <w:rPr>
          <w:rFonts w:ascii="Times New Roman" w:hAnsi="Times New Roman"/>
          <w:b/>
          <w:i/>
          <w:color w:val="000000"/>
          <w:sz w:val="20"/>
        </w:rPr>
        <w:t>Patent Costs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related to filing and pursuing patent applications are expensed as incurred since recoverability of such expenditures is uncertain. </w:t>
      </w:r>
    </w:p>
    <w:p>
      <w:pPr>
        <w:pStyle w:val="TextBody"/>
        <w:bidi w:val="0"/>
        <w:spacing w:before="120" w:after="283"/>
        <w:jc w:val="both"/>
        <w:rPr>
          <w:rFonts w:ascii="Times New Roman" w:hAnsi="Times New Roman"/>
          <w:sz w:val="20"/>
        </w:rPr>
      </w:pPr>
      <w:r>
        <w:rPr>
          <w:rFonts w:ascii="Times New Roman" w:hAnsi="Times New Roman"/>
          <w:b/>
          <w:i/>
          <w:color w:val="000000"/>
          <w:sz w:val="20"/>
        </w:rPr>
        <w:t>Offering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capitalizes costs that are directly associated with equity financings until such financings are consummated, at which time such costs are recorded against the gross proceeds of the offering in the Company’s unaudited condensed consolidated balance sheets. Should an in-process equity financing be abandoned, the offering costs will be expensed immediately as a charge to operating expenses in the statements of operations and comprehensive income (loss). During the period, the Company had no unpaid costs associated with its ATM Facility (as defined in Note 6).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Warrant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the 2024 Private Placement (described in Note 6) and the Loan executed in 2025 (described in Note 5), certain warrants to purchase common stock were deemed freestanding warrants and are reflected in the Company’s unaudited condensed consolidated balance sheets as a liability as of and for the period ending March 31, 2026.</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 expense represents the cost of the grant date fair value of employee stock options, restricted stock units (“RSUs”) and Common Stock Warrants (as defined in Note 6) recognized over the requisite service period of the awards (usually the vesting period) on a straight-line basis. The Company estimates the fair value of stock option grants, RSUs and Common Stock Warrants using the Black-Scholes option pricing model (“Black-Scholes”). Forfeitures are recognized as a reduction of stock-based compensation expense as they occur. Equity-based compensation expense is classified in the statements of operations in the same manner in which the award recipients’ payroll costs are classified or in which the award recipients’ service payments are classified. The fair value of each stock option grant, RSU and Common Stock Warrant is estimated on the date of grant using Black Scholes. The following summarizes the inputs used:</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Fair Value of Common Stock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Company uses the closing stock price the day of the grant date for the fair value.</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Risk-Free Interest Rate</w:t>
      </w:r>
    </w:p>
    <w:p>
      <w:pPr>
        <w:pStyle w:val="TextBody"/>
        <w:bidi w:val="0"/>
        <w:spacing w:before="120" w:after="283"/>
        <w:jc w:val="both"/>
        <w:rPr>
          <w:rFonts w:ascii="Times New Roman" w:hAnsi="Times New Roman"/>
          <w:sz w:val="20"/>
        </w:rPr>
      </w:pPr>
      <w:r>
        <w:rPr>
          <w:rFonts w:ascii="Times New Roman" w:hAnsi="Times New Roman"/>
          <w:color w:val="000000"/>
          <w:sz w:val="20"/>
        </w:rPr>
        <w:t>The risk-free interest ra</w:t>
      </w:r>
      <w:r>
        <w:rPr>
          <w:rFonts w:ascii="Times New Roman" w:hAnsi="Times New Roman"/>
          <w:color w:val="231F20"/>
          <w:sz w:val="20"/>
        </w:rPr>
        <w:t>te is based on the U.S. Treasury yield in effect at the time of grant for zero coupon U.S. Treasury notes with maturities similar to the expected term of the awards.</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Expected Volatility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uses an average volatility for comparable publicly-traded biopharmaceutical companies over a period equal to the expected term of the stock award grant as the Company does not yet have sufficient historical trading history for its own stock. The Company will continue to apply this method until a sufficient amount of historical information over a period equal to the expected term of the stock-based awards becomes available.</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Expected Term</w:t>
      </w:r>
    </w:p>
    <w:p>
      <w:pPr>
        <w:pStyle w:val="TextBody"/>
        <w:bidi w:val="0"/>
        <w:spacing w:before="120" w:after="283"/>
        <w:jc w:val="both"/>
        <w:rPr>
          <w:rFonts w:ascii="Times New Roman" w:hAnsi="Times New Roman"/>
          <w:sz w:val="20"/>
        </w:rPr>
      </w:pPr>
      <w:r>
        <w:rPr>
          <w:rFonts w:ascii="Times New Roman" w:hAnsi="Times New Roman"/>
          <w:color w:val="000000"/>
          <w:sz w:val="20"/>
        </w:rPr>
        <w:t>The Company used the simplified method to calc</w:t>
      </w:r>
      <w:r>
        <w:rPr>
          <w:rFonts w:ascii="Times New Roman" w:hAnsi="Times New Roman"/>
          <w:color w:val="231F20"/>
          <w:sz w:val="20"/>
        </w:rPr>
        <w:t xml:space="preserve">ulate the expected term for all grants during all periods, which is based on the midpoint between the vesting date and the end of the contractual term. </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Expected Dividend Yield</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Company has never paid and has no present intention to pay cash dividends.</w:t>
      </w:r>
    </w:p>
    <w:p>
      <w:pPr>
        <w:pStyle w:val="TextBody"/>
        <w:bidi w:val="0"/>
        <w:spacing w:before="12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likely to be realized upon ultimate settlement with the related tax authority. The Company recognizes interest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and penalties related to unrecognized tax benefits within income tax expense. Any accrued interest and penalties are included within the related tax liability.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Comprehensive Income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Comprehensive income (loss) is defined as a change in equity during a period from transactions and other events and circumstances from non-owner sources which are excluded from net income (loss). The Company’s only element of other comprehensive income (loss) is unrealized gains and losses on marketable securities and short-term investments.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board of directors reviews and approves transactions with directors, officers and holders of 5% or more of its voting securities and their affiliates, each a related party. The material facts as to the related party’s relationship or interest in the transaction are disclosed to its board of directors prior to their consideration of such transaction, and the transaction is not considered approved by its board of directors unless a majority of the directors who are not interested in the transaction approve the transaction.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2024, the Company granted a warrant to purchase 10,000 shares of common stock to a consulting firm affiliated with the Company’s former interim chief financial officer. The warrant is classified as equity, and the Company recorded expense of zero and $5,000 for the three months ended March 31, 2026 and 2025, respectively, in general and administrative expense in the unaudited condensed consolidated statements of operations.</w:t>
      </w:r>
    </w:p>
    <w:p>
      <w:pPr>
        <w:pStyle w:val="TextBody"/>
        <w:bidi w:val="0"/>
        <w:spacing w:before="120" w:after="283"/>
        <w:jc w:val="both"/>
        <w:rPr>
          <w:rFonts w:ascii="Times New Roman" w:hAnsi="Times New Roman"/>
          <w:sz w:val="20"/>
        </w:rPr>
      </w:pPr>
      <w:r>
        <w:rPr>
          <w:rFonts w:ascii="Times New Roman" w:hAnsi="Times New Roman"/>
          <w:b/>
          <w:i/>
          <w:color w:val="000000"/>
          <w:sz w:val="20"/>
        </w:rPr>
        <w:t>Net Income (Loss)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income (loss) per share is computed using the weighted average number of shares of common stock outstanding during the period, including the Pre-Funded Warrants which were exercised on January 28, 2026, and Placement Agent Warrants (as defined in Note 6). The Company calculates diluted net income (loss) per share using the more dilutive of the (i) treasury stock method, if-converted method, or contingently issuable share method, as applicable, or (ii) the two-class method. For warrants, the calculation of diluted net income (loss) per share requires that, to the extent the average fair value of the underlying shares for the reporting period exceeds the exercise price of the warrants and the presumed exercise of such securities are dilutive to net income (loss) per share for the period, adjustments to net income (loss) used in the calculation are required to remove the change in fair value of the warrants for the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stock options RSUs and warrants, other than the Placement Agent Warrants, that were in-the-money were included in the calculation of fully diluted shares. As of March 31, 2025, the Company’s outstanding stock options, RSUs and warrants, other than the Pre-Funded Warrants and Placement Agent Warrants, were excluded from the calculation of net income (loss) per share because the effect would be antidilutive. </w:t>
      </w:r>
    </w:p>
    <w:p>
      <w:pPr>
        <w:pStyle w:val="TextBody"/>
        <w:bidi w:val="0"/>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 (Subtopic 220-40)</w:t>
      </w:r>
      <w:r>
        <w:rPr>
          <w:rFonts w:ascii="Times New Roman" w:hAnsi="Times New Roman"/>
          <w:color w:val="000000"/>
          <w:sz w:val="20"/>
        </w:rPr>
        <w:t xml:space="preserve"> which requires public entities to disclose in the notes to financial statements, of additional specified information about certain costs and expenses. For public business entities, the guidance is effective for annual periods beginning after December 15, 2026 and interim periods after December 15, 2027, with early adoption permitted. The Company is currently assessing the impact that this guidance will have on the consolidated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2025, the FASB issued ASU No. 2025-11, </w:t>
      </w:r>
      <w:r>
        <w:rPr>
          <w:rFonts w:ascii="Times New Roman" w:hAnsi="Times New Roman"/>
          <w:i/>
          <w:color w:val="000000"/>
          <w:sz w:val="20"/>
        </w:rPr>
        <w:t xml:space="preserve">Interim Reporting (Topic 270): Narrow-Scope Improvements </w:t>
      </w:r>
      <w:r>
        <w:rPr>
          <w:rFonts w:ascii="Times New Roman" w:hAnsi="Times New Roman"/>
          <w:color w:val="000000"/>
          <w:sz w:val="20"/>
        </w:rPr>
        <w:t>("ASU 2025-11"). ASU 2025-11 is intended to improve the navigability of guidance in ASC 270, Interim Reporting, and clarify when it applies. The amendments also provide additional guidance on what disclosures should be provided in interim reporting periods. ASU 2025-11 is effective for fiscal years beginning after December 15, 2027, including interim periods within those fiscal years, and permits prospective or full retrospective adoption. The Company is evaluating the impact of this guidance on its unaudited condensed consolidated financial statements and related disclosures.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2025, the FASB issued ASU No. 2025-12, </w:t>
      </w:r>
      <w:r>
        <w:rPr>
          <w:rFonts w:ascii="Times New Roman" w:hAnsi="Times New Roman"/>
          <w:i/>
          <w:color w:val="000000"/>
          <w:sz w:val="20"/>
        </w:rPr>
        <w:t>Codification Improvements</w:t>
      </w:r>
      <w:r>
        <w:rPr>
          <w:rFonts w:ascii="Times New Roman" w:hAnsi="Times New Roman"/>
          <w:color w:val="000000"/>
          <w:sz w:val="20"/>
        </w:rPr>
        <w:t xml:space="preserve"> ("ASU 2025-12"). ASU 2025-12 addresses suggestions received from stakeholders regarding the Accounting Standards Codification and makes other incremental improvements to U.S. GAAP. The update represents changes to the Codification that clarify, correct errors in or make other improvements to a variety of topics that are intended to make it easier to understand and apply. ASU 2025-12 is effective for fiscal years beginning after December 15, 2026 and interim periods within those fiscal years. Entities are required to apply the amendments to ASC 260 retrospectively. All other amendments may be applied prospectively or retrospectively. Early adoption is permitted. The Company is evaluating the impact of this guidance on its consolidated financial statements and related disclosures.</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assets and liabilities which are measured at fair value include short-term investments, the promissory note and warrants for common stock. All assets and liabilities recorded at fair value are revalued at each measurement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elected the fair value option for the promissory note and estimated the fair value based on a discounted cash flow analysis, a form of the Income Approach. Several different settlement scenarios were considered, and probability weighted to arrive at the final valuation. Increases or decreases in the fair value of the promissory note can result from updates to assumptions such as the expected timing or probability of the different settlement scenarios, or changes in discount rates. Judgment is used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determining these assumptions as of the initial valuation date and at each subsequent reporting period. Updates to assumptions could have a significant impact on our results of operations in any given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Common Warrants (as defined in Note 6) were valued using Black-Scholes utilizing the following inputs; (i) a risk-free interest rate; (ii) volatility based on the expected term of the Common Warrant; (iii) and an exercise price and stock price on the date of the transaction. Several different scenarios were considered, and probability weighted to arrive at the final valuation. Increases or decreases in the fair value of the Common Warrants can result from updates to assumptions such as the expected timing or probability of the different settlement scenarios. Judgment is used in determining these assumptions as of the initial valuation date and at each subsequent reporting period. Updates to assumptions could have a significant impact on our results of operations in any given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three levels: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Level 1:</w:t>
      </w:r>
      <w:r>
        <w:rPr>
          <w:color w:val="000000"/>
        </w:rPr>
        <w:t xml:space="preserve"> </w:t>
      </w:r>
      <w:r>
        <w:rPr>
          <w:rFonts w:ascii="Times New Roman" w:hAnsi="Times New Roman"/>
          <w:color w:val="000000"/>
          <w:sz w:val="20"/>
        </w:rPr>
        <w:t xml:space="preserve">Observable inputs such as unadjusted quoted prices in active markets for identical assets or liabilities at the measurement date.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Level 2:</w:t>
      </w:r>
      <w:r>
        <w:rPr>
          <w:color w:val="000000"/>
        </w:rPr>
        <w:t xml:space="preserve"> </w:t>
      </w:r>
      <w:r>
        <w:rPr>
          <w:rFonts w:ascii="Times New Roman" w:hAnsi="Times New Roman"/>
          <w:color w:val="000000"/>
          <w:sz w:val="20"/>
        </w:rPr>
        <w:t>Inputs (other than quoted prices included in Level 1) that are either directly or indirectly observable for the asset or liability. These include quoted prices for similar assets or liabilities in active markets and quoted prices for identical or similar assets or liabilities in markets that are not active.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Level 3:</w:t>
      </w:r>
      <w:r>
        <w:rPr>
          <w:color w:val="000000"/>
        </w:rPr>
        <w:t xml:space="preserve"> </w:t>
      </w:r>
      <w:r>
        <w:rPr>
          <w:rFonts w:ascii="Times New Roman" w:hAnsi="Times New Roman"/>
          <w:color w:val="000000"/>
          <w:sz w:val="20"/>
        </w:rPr>
        <w:t xml:space="preserve">Unobservable inputs that are supported by little or no market activity and that are significant to the fair value of the assets or liabilities.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and indicates the level of the fair value hierarchy utilized to determine such fair values (in thousands):</w:t>
      </w:r>
    </w:p>
    <w:p>
      <w:pPr>
        <w:pStyle w:val="TextBody"/>
        <w:bidi w:val="0"/>
        <w:spacing w:before="120" w:after="283"/>
        <w:jc w:val="both"/>
        <w:rPr/>
      </w:pPr>
      <w:r>
        <w:rPr/>
        <w:t> </w:t>
      </w:r>
    </w:p>
    <w:tbl>
      <w:tblPr>
        <w:tblW w:w="7223" w:type="dxa"/>
        <w:jc w:val="left"/>
        <w:tblInd w:w="0" w:type="dxa"/>
        <w:tblLayout w:type="fixed"/>
        <w:tblCellMar>
          <w:top w:w="28" w:type="dxa"/>
          <w:left w:w="28" w:type="dxa"/>
          <w:bottom w:w="28" w:type="dxa"/>
          <w:right w:w="28" w:type="dxa"/>
        </w:tblCellMar>
      </w:tblPr>
      <w:tblGrid>
        <w:gridCol w:w="2936"/>
        <w:gridCol w:w="146"/>
        <w:gridCol w:w="196"/>
        <w:gridCol w:w="511"/>
        <w:gridCol w:w="146"/>
        <w:gridCol w:w="146"/>
        <w:gridCol w:w="228"/>
        <w:gridCol w:w="402"/>
        <w:gridCol w:w="146"/>
        <w:gridCol w:w="146"/>
        <w:gridCol w:w="228"/>
        <w:gridCol w:w="402"/>
        <w:gridCol w:w="146"/>
        <w:gridCol w:w="146"/>
        <w:gridCol w:w="196"/>
        <w:gridCol w:w="511"/>
        <w:gridCol w:w="591"/>
      </w:tblGrid>
      <w:tr>
        <w:trPr/>
        <w:tc>
          <w:tcPr>
            <w:tcW w:w="2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9425" w:type="dxa"/>
        <w:jc w:val="left"/>
        <w:tblInd w:w="0" w:type="dxa"/>
        <w:tblLayout w:type="fixed"/>
        <w:tblCellMar>
          <w:top w:w="28" w:type="dxa"/>
          <w:left w:w="28" w:type="dxa"/>
          <w:bottom w:w="28" w:type="dxa"/>
          <w:right w:w="28" w:type="dxa"/>
        </w:tblCellMar>
      </w:tblPr>
      <w:tblGrid>
        <w:gridCol w:w="4971"/>
        <w:gridCol w:w="146"/>
        <w:gridCol w:w="196"/>
        <w:gridCol w:w="511"/>
        <w:gridCol w:w="146"/>
        <w:gridCol w:w="146"/>
        <w:gridCol w:w="196"/>
        <w:gridCol w:w="511"/>
        <w:gridCol w:w="146"/>
        <w:gridCol w:w="146"/>
        <w:gridCol w:w="228"/>
        <w:gridCol w:w="402"/>
        <w:gridCol w:w="146"/>
        <w:gridCol w:w="146"/>
        <w:gridCol w:w="196"/>
        <w:gridCol w:w="601"/>
        <w:gridCol w:w="591"/>
      </w:tblGrid>
      <w:tr>
        <w:trPr/>
        <w:tc>
          <w:tcPr>
            <w:tcW w:w="4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Government sponsored entities - mortgage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Government sponsored entities - 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Money market funds are highly liquid investments which are actively traded. The pricing information on the Company’s money market funds is based on quoted prices in active markets for identical securities. This approach results in the classification of these securities as Level 1 of the fair value hierarchy.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Commercial paper and U.S. Government sponsored entities - mortgage-backed are classified as Level 2 within the hierarchy and are carried at fair value with unrealized gains and losses included in other comprehensive loss as a component of stockholders’ equity until realized. The Company estimates the fair values of these securities by taking into consideration valuations obtained from third-party pricing 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there were no transfers between Level 1, Level 2 and Level 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information about the Company’s financial liabilities measured at fair value on a recurring basis and indicates the level of the fair value hierarchy utilized to determine such fair values (in thousands).</w:t>
      </w:r>
    </w:p>
    <w:p>
      <w:pPr>
        <w:pStyle w:val="TextBody"/>
        <w:bidi w:val="0"/>
        <w:spacing w:before="120" w:after="283"/>
        <w:jc w:val="both"/>
        <w:rPr/>
      </w:pPr>
      <w:r>
        <w:rPr/>
        <w:t> </w:t>
      </w:r>
    </w:p>
    <w:tbl>
      <w:tblPr>
        <w:tblW w:w="7433" w:type="dxa"/>
        <w:jc w:val="left"/>
        <w:tblInd w:w="0" w:type="dxa"/>
        <w:tblLayout w:type="fixed"/>
        <w:tblCellMar>
          <w:top w:w="28" w:type="dxa"/>
          <w:left w:w="28" w:type="dxa"/>
          <w:bottom w:w="28" w:type="dxa"/>
          <w:right w:w="28" w:type="dxa"/>
        </w:tblCellMar>
      </w:tblPr>
      <w:tblGrid>
        <w:gridCol w:w="3146"/>
        <w:gridCol w:w="146"/>
        <w:gridCol w:w="239"/>
        <w:gridCol w:w="391"/>
        <w:gridCol w:w="146"/>
        <w:gridCol w:w="146"/>
        <w:gridCol w:w="239"/>
        <w:gridCol w:w="391"/>
        <w:gridCol w:w="146"/>
        <w:gridCol w:w="146"/>
        <w:gridCol w:w="196"/>
        <w:gridCol w:w="511"/>
        <w:gridCol w:w="146"/>
        <w:gridCol w:w="146"/>
        <w:gridCol w:w="196"/>
        <w:gridCol w:w="511"/>
        <w:gridCol w:w="591"/>
      </w:tblGrid>
      <w:tr>
        <w:trPr/>
        <w:tc>
          <w:tcPr>
            <w:tcW w:w="3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7613" w:type="dxa"/>
        <w:jc w:val="left"/>
        <w:tblInd w:w="0" w:type="dxa"/>
        <w:tblLayout w:type="fixed"/>
        <w:tblCellMar>
          <w:top w:w="28" w:type="dxa"/>
          <w:left w:w="28" w:type="dxa"/>
          <w:bottom w:w="28" w:type="dxa"/>
          <w:right w:w="28" w:type="dxa"/>
        </w:tblCellMar>
      </w:tblPr>
      <w:tblGrid>
        <w:gridCol w:w="3146"/>
        <w:gridCol w:w="146"/>
        <w:gridCol w:w="239"/>
        <w:gridCol w:w="391"/>
        <w:gridCol w:w="146"/>
        <w:gridCol w:w="146"/>
        <w:gridCol w:w="239"/>
        <w:gridCol w:w="391"/>
        <w:gridCol w:w="146"/>
        <w:gridCol w:w="146"/>
        <w:gridCol w:w="196"/>
        <w:gridCol w:w="601"/>
        <w:gridCol w:w="146"/>
        <w:gridCol w:w="146"/>
        <w:gridCol w:w="196"/>
        <w:gridCol w:w="601"/>
        <w:gridCol w:w="591"/>
      </w:tblGrid>
      <w:tr>
        <w:trPr/>
        <w:tc>
          <w:tcPr>
            <w:tcW w:w="3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provides a reconciliation for all liabilities measured at fair value using Level 3 inputs for the three months ended March 31, 2026 and 2025 (in thousands):</w:t>
      </w:r>
    </w:p>
    <w:p>
      <w:pPr>
        <w:pStyle w:val="TextBody"/>
        <w:bidi w:val="0"/>
        <w:spacing w:before="120" w:after="283"/>
        <w:jc w:val="both"/>
        <w:rPr/>
      </w:pPr>
      <w:r>
        <w:rPr/>
        <w:t> </w:t>
      </w:r>
    </w:p>
    <w:tbl>
      <w:tblPr>
        <w:tblW w:w="4825" w:type="dxa"/>
        <w:jc w:val="left"/>
        <w:tblInd w:w="0" w:type="dxa"/>
        <w:tblLayout w:type="fixed"/>
        <w:tblCellMar>
          <w:top w:w="28" w:type="dxa"/>
          <w:left w:w="28" w:type="dxa"/>
          <w:bottom w:w="28" w:type="dxa"/>
          <w:right w:w="28" w:type="dxa"/>
        </w:tblCellMar>
      </w:tblPr>
      <w:tblGrid>
        <w:gridCol w:w="3501"/>
        <w:gridCol w:w="146"/>
        <w:gridCol w:w="196"/>
        <w:gridCol w:w="571"/>
        <w:gridCol w:w="411"/>
      </w:tblGrid>
      <w:tr>
        <w:trPr/>
        <w:tc>
          <w:tcPr>
            <w:tcW w:w="3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Promissory Note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Tranche 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Lender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Promissory Note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Lender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Tranche 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Lender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information as to cost, unrealized gains and losses and fair value determination of the Company’s financial assets measured at fair value on a recurring basis (in thousands):</w:t>
      </w:r>
    </w:p>
    <w:p>
      <w:pPr>
        <w:pStyle w:val="TextBody"/>
        <w:bidi w:val="0"/>
        <w:jc w:val="both"/>
        <w:rPr/>
      </w:pPr>
      <w:r>
        <w:rPr/>
        <w:t> </w:t>
      </w:r>
    </w:p>
    <w:tbl>
      <w:tblPr>
        <w:tblW w:w="8077" w:type="dxa"/>
        <w:jc w:val="left"/>
        <w:tblInd w:w="0" w:type="dxa"/>
        <w:tblLayout w:type="fixed"/>
        <w:tblCellMar>
          <w:top w:w="28" w:type="dxa"/>
          <w:left w:w="28" w:type="dxa"/>
          <w:bottom w:w="28" w:type="dxa"/>
          <w:right w:w="28" w:type="dxa"/>
        </w:tblCellMar>
      </w:tblPr>
      <w:tblGrid>
        <w:gridCol w:w="2936"/>
        <w:gridCol w:w="146"/>
        <w:gridCol w:w="241"/>
        <w:gridCol w:w="630"/>
        <w:gridCol w:w="146"/>
        <w:gridCol w:w="146"/>
        <w:gridCol w:w="320"/>
        <w:gridCol w:w="566"/>
        <w:gridCol w:w="146"/>
        <w:gridCol w:w="146"/>
        <w:gridCol w:w="320"/>
        <w:gridCol w:w="566"/>
        <w:gridCol w:w="146"/>
        <w:gridCol w:w="146"/>
        <w:gridCol w:w="245"/>
        <w:gridCol w:w="640"/>
        <w:gridCol w:w="591"/>
      </w:tblGrid>
      <w:tr>
        <w:trPr/>
        <w:tc>
          <w:tcPr>
            <w:tcW w:w="2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the contractual maturities of all available-for-sale investments were less than 12 months. The Company periodically reviews the available-for-sale investments for other-than-temporary impairment loss. The Company had no short-term investments as of March 31, 2026.</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112" w:type="dxa"/>
        <w:jc w:val="left"/>
        <w:tblInd w:w="0" w:type="dxa"/>
        <w:tblLayout w:type="fixed"/>
        <w:tblCellMar>
          <w:top w:w="28" w:type="dxa"/>
          <w:left w:w="28" w:type="dxa"/>
          <w:bottom w:w="28" w:type="dxa"/>
          <w:right w:w="28" w:type="dxa"/>
        </w:tblCellMar>
      </w:tblPr>
      <w:tblGrid>
        <w:gridCol w:w="4971"/>
        <w:gridCol w:w="146"/>
        <w:gridCol w:w="214"/>
        <w:gridCol w:w="657"/>
        <w:gridCol w:w="146"/>
        <w:gridCol w:w="146"/>
        <w:gridCol w:w="320"/>
        <w:gridCol w:w="566"/>
        <w:gridCol w:w="146"/>
        <w:gridCol w:w="146"/>
        <w:gridCol w:w="320"/>
        <w:gridCol w:w="566"/>
        <w:gridCol w:w="146"/>
        <w:gridCol w:w="146"/>
        <w:gridCol w:w="217"/>
        <w:gridCol w:w="668"/>
        <w:gridCol w:w="591"/>
      </w:tblGrid>
      <w:tr>
        <w:trPr/>
        <w:tc>
          <w:tcPr>
            <w:tcW w:w="4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Government sponsored entities - 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Government sponsored entities - mortgage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contractual maturities of all available-for-sale investments were less than 12 months. The Company periodically reviews the available-for-sale for other-than-temporary impairment loss. The Company had short-term investments in unrealized gain positions as of December 31, 2025.</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 Accrued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expenses consisted of the following (in thousands):</w:t>
      </w:r>
    </w:p>
    <w:p>
      <w:pPr>
        <w:pStyle w:val="TextBody"/>
        <w:bidi w:val="0"/>
        <w:spacing w:before="120" w:after="283"/>
        <w:jc w:val="both"/>
        <w:rPr/>
      </w:pPr>
      <w:r>
        <w:rPr/>
        <w:t> </w:t>
      </w:r>
    </w:p>
    <w:tbl>
      <w:tblPr>
        <w:tblW w:w="6545" w:type="dxa"/>
        <w:jc w:val="left"/>
        <w:tblInd w:w="0" w:type="dxa"/>
        <w:tblLayout w:type="fixed"/>
        <w:tblCellMar>
          <w:top w:w="28" w:type="dxa"/>
          <w:left w:w="28" w:type="dxa"/>
          <w:bottom w:w="28" w:type="dxa"/>
          <w:right w:w="28" w:type="dxa"/>
        </w:tblCellMar>
      </w:tblPr>
      <w:tblGrid>
        <w:gridCol w:w="3766"/>
        <w:gridCol w:w="146"/>
        <w:gridCol w:w="285"/>
        <w:gridCol w:w="570"/>
        <w:gridCol w:w="146"/>
        <w:gridCol w:w="146"/>
        <w:gridCol w:w="364"/>
        <w:gridCol w:w="731"/>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other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franchise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Promissory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28, 2025 (the “Closing Date”), the Company executed the Loan Agreement with the Lender and Collateral Agent, for growth capital loans in an aggregate principal amount of up to $32,500,000 (the “Loan”), with (i) $10,000,000 funded on the Closing Date (“Tranche 1”), (ii) up to $7,500,000 to be made available to the Company between September 1, 2025 and March 31, 2026, which was subject to, among other things, the Company’s achievement of certain milestones with respect to certain of its ongoing clinical trials (“Tranche 2”) and (iii) up to $15,000,000 to be made available to the Company between October 1, 2025 and March 31, 2026, which was subject to, among other things, (a) the Company’s achievement of additional milestones with respect to certain of its ongoing clinical trials and (b) the mutual written agreement of the Company and the Lender (upon its investment committee approval). At the closing date, up to $1,000,000 of the principal outstanding may be converted into shares of the Company’s unrestricted, freely tradable common stock at a price equal to 20% premium to the exercise price of the warrants (see note 6 for further description of the warrants) at the Lender’s option.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pause in enrollment in the KOURAGE trial, Tranche 2 and Tranche 3 are no longer available to the Company. The Company will make interest only payments until the 18 month anniversary of the Closing Date. The Loan is evidenced by a promissory note and bears interest at an annual rate equal to the greater of (a) the sum of 5.00% plus the prime rate as reported in The Wall Street Journal and (b) 12.75%. The Loan is secured by a lien upon and security interest in all of the Company’s assets, including intellectual property, subject to agreed exceptions. The maturity date of the Loan is September 1, 2028 (the “Maturity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future promissory note payments are as follows (in thousands):</w:t>
      </w:r>
    </w:p>
    <w:p>
      <w:pPr>
        <w:pStyle w:val="TextBody"/>
        <w:bidi w:val="0"/>
        <w:spacing w:before="120" w:after="283"/>
        <w:jc w:val="both"/>
        <w:rPr/>
      </w:pPr>
      <w:r>
        <w:rPr/>
        <w:t> </w:t>
      </w:r>
    </w:p>
    <w:tbl>
      <w:tblPr>
        <w:tblW w:w="4445" w:type="dxa"/>
        <w:jc w:val="left"/>
        <w:tblInd w:w="0" w:type="dxa"/>
        <w:tblLayout w:type="fixed"/>
        <w:tblCellMar>
          <w:top w:w="28" w:type="dxa"/>
          <w:left w:w="28" w:type="dxa"/>
          <w:bottom w:w="28" w:type="dxa"/>
          <w:right w:w="28" w:type="dxa"/>
        </w:tblCellMar>
      </w:tblPr>
      <w:tblGrid>
        <w:gridCol w:w="3021"/>
        <w:gridCol w:w="146"/>
        <w:gridCol w:w="211"/>
        <w:gridCol w:w="676"/>
        <w:gridCol w:w="391"/>
      </w:tblGrid>
      <w:tr>
        <w:trPr/>
        <w:tc>
          <w:tcPr>
            <w:tcW w:w="3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Future promissory note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determined the promissory note was eligible for the fair value election, and the Company elected to account for the promissory note at fair value. The Company allocated the gross proceeds on a relative fair value basis. The initial fair value of the promissory notes was $8.9 million. The valuation methodology was a scenario-based analysis utilizing a discounted cash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flow framework to value the “straight debt” portion of the promissory note and Black-Scholes to value the conversion feature associated with the promissory note. Major inputs/assumptions associated with the fair value of the promissory note include: a) Calibrated Discount Rate of 13.7%, b) Scenario Weighting for Repayment through Maturity of 80%, c) Scenario Weighting for Repayment through Milestone of 20%, d) Timing of Milestone of 12/31/25, and e) Volatility used in Black-Scholes to value conversion feature of 100%. The fair value of the Lender Warrants was estimated using Black-Scholes (see Note 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balance sheet date of March 31, 2026, the value of the promissory note was $6.7 million, with a decrease in fair value of $3.0 million and $0.3 million for the three months ended March 31, 2026 and 2025, respectively, being recorded in the unaudited condensed consolidated statements of operations in other income/(expense).</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 Common Stock and Stockholders' Equity (Deficit)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Authorized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current Amended and Restated Certificate of Incorporation authorizes 500,000,000 shares of common stock, par value $0.0001 per share, and 10,000,000 shares of preferred stock, par value $0.0001 per share.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 of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19, 2024, the Company entered into a Securities Purchase Agreement (the “Purchase Agreement”) with certain accredited investors, in which the Company sold the following securities to the accredited investors in a private placement transaction (the “2024 Private Placement”): (i) an aggregate of 4,985,610 shares of common stock; (ii) to certain investors, in lieu of shares of common stock, pre-funded warrants (the “Pre-Funded Warrants”) to purchase an aggregate of 306,506 shares of common stock and exercisable at any time; (iii) Tranche A Common Warrants (the “Tranche A Common Warrants”) to purchase an aggregate of up to 2,646,058 shares of common stock (or Pre-Funded Warrants in lieu thereof and, in such case, shares of common stock issuable upon exercise of such Pre-Funded Warrants); and (iv) Tranche B Common Warrants (the “Tranche B Common Warrants” and together with the Tranche A Common Warrants, the “Common Warrants”) to purchase an aggregate of up to 2,646,058 shares of common stock (or Pre-Funded Warrants in lieu thereof and, in such case, shares of common stock issuable upon exercise of such Pre-Funded Warrants). At date of issuance, the fair value of the common stock was $8.5 million using the relative fair value method and is included in equity at March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issued placement agent warrants (“Placement Agent Warrants”) to purchase 67,908 shares of common stock at the initial closing of the 2024 Private Placement and 7,839 shares of common stock at the second closing of the 2024 Private Placement, at an exercise price of $0.0001 per share. Each Placement Agent Warrant was accompanied by one Tranche A Common Warrant to purchase one half of a share of common stock and one Tranche B Warrant to purchase one half of a share of common stock, for an aggregate of 75,746 Common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initial closing of the 2024 Private Placement occurred on January 23, 2024 and the second closing occurred on February 5, 2024. Gross proceeds from the transaction were $20.4 million with net proceeds of approximately $19.0 million after deducting $1.4 million in commissions and other transaction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Underwritten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 2024, the Company closed an underwritten public offering of 2,720,000 shares of its common stock at a price to the public of $3.75 per share (the “2024 Follow-On”). The gross proceeds from the offering, before deducting underwriting discounts and commissions and offering expenses, were $10.2 million. In addition, the Company granted the underwriters a 30-day option to purchase up to an additional 408,000 shares of its common stock at the public offering price, less underwriting discounts and commissions, which option expired unexercised.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Shelf Registration Statement and At the Market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2023, the Company filed a shelf registration statement on Form S-3 (the “Shelf Registration Statement”). The Shelf Registration Statement permits the offering, issuance and sale of common stock, preferred stock, debt securities and warrants having an aggregate offering price of up to $100.0 million in one or more offerings and in any combination of the foregoing.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Shelf Registration Statement contains two prospectuses, a base prospectus and an at-the-market offering prospectus, as supplemented on March 29, 2024 (as supplemented, the “Original Prospectus Supplement”), that covered the offering, issuance and sale of up to $17.3 million of common stock pursuant to an at-the-market offering agreement (“ATM Agreement”) with H.C Wainwright &amp; Co., LLC (“Wainwright”), acting as sales agent (“ATM Facility”).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2024 Follow-on, on October 30, 2024, the Company suspended sales of common stock under the ATM Facility pursuant to the Original Prospectus Supplement, and until December 20, 2024, did not offer for sale any shares of common stock. The Company filed a prospectus supplement (the “2024 Prospectus Supplement”) to the Shelf Registration Statement with the Securities and Exchange Commission (“SEC”) on December 20, 2024 providing for the sale of shares of common stock under the ATM Facility having an aggregate gross sales price of up to $4.45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intends to use the net proceeds from the ATM Facility for general corporate purposes, which may include research and development expenses, clinical trial expenses, capital expenditures and working capital. The ATM Facility will terminate upon the earlier of (i) the sale of all of the shares of our common stock provided for in the at the market offering prospectus or (ii) termination of the ATM Agreement as permitted therein. The ATM Agreement may be terminated at any time by either party upon written notice. During the three months ended March 31, 2026, there were no sales of shares under the ATM Facility. As of March 31, 2026, the Company has sold 2,031,828 shares of common stock for net proceeds of approximately $5.8 million, after deducting $292,000 of commissions and settlement expenses paid under the ATM Facility.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filed a prospectus supplement (the “2025 Prospectus Supplement”) to the Shelf Registration Statement with the SEC on November 6, 2025 providing for the sale of shares of common stock under the ATM Facility having an aggregate gross sales price of up to $9.7 million. As of March 31, 2026, approximately $6.3 million remained available under the ATM Facility for the offer and sale of shares of common stock pursuant to the 2025 Prospectus Supplement.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3, 2026, the Company filed a shelf registration statement on Form S-3 (the “2026 Shelf Registration Statement”). The 2026 Shelf Registration Statement permits the offering, issuance and sale of common stock, preferred stock, debt securities and warrants having an aggregate offering price of up to $125.0 million in one or more offerings and in any combination of the foregoing.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2022, Private CalciMedica granted warrants to certain officers and directors to purchase 496,970 shares of common stock. In conjunction with the Merger, the warrants converted to 14,313 warrants of the Company at an exercise price of $10.42. The warrants have a 10-year term and vest ratably over 12 and 48 months. At the date of issuance, the fair value of the warrants collectively was $125,000 and was determined utilizing Black-Scholes and will be recognized as general and administrative expense over the vesting periods. Assumptions used in the valuation were as follows: expected term of ten years, risk free rate of 4.10%, volatility of 82% and a dividend yield of zero. The warrants are classified as equity, and the Company expensed zero and $1,000 to general and administrative expense for the three months ended March 31, 2026 and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2024 Private Placement, the Company issued Tranche A Common Warrants, Tranche B Common Warrants and Pre-Funded Warrants. Tranche A Common Warrants were exercisable until July 29, 2024. The Tranche B Common Warrants were exercisable immediately upon issuance and will expire upon the earlier of (i) 5:00 p.m. (New York City time) on December 31, 2026 and (ii) 30 days following the Company's public disclosure of topline results from a Phase 2 clinical trial in patients with acute kidney injury. The purchase price per share and accompanying Common Warrants was $3.827 (or $4.3915 for directors, employees or consultants of the Company participating in the 2024 Private Placement) (or $3.8269 per Pre-Funded Warrant and accompanying Common Warrants, which represented the price of $3.827 per share and accompanying Common Warrants minus the $0.0001 per share exercise price of each such Pre-Funded Warrant).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Tranche A Common Warrants had a strike price of $5.36 per share, were not deemed equity and were classified as a liability in the Company’s unaudited condensed consolidated balance sheets. At the date of issuance, the fair value of the Tranche A Common Warrants was $4.1 million utilizing Black-Scholes with the following assumptions: expected term of 0.94 years, risk-free interest rate of 4.9%, volatility of 100% and a dividend yield of zero. As of the balance sheet date of March 31, 2026, the value of the Tranche A Common Warrants was zero as the Tranche A Common Warrants expired on July 27,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Tranche B Common Warrants have a strike price of $7.15 per share, are not deemed equity and are classified as a liability in the Company’s unaudited condensed consolidated balance sheets. At the date of issuance, the fair value of the Tranche B Common Warrants was $7.1 million utilizing Black-Scholes with the following assumptions: expected term of 1.69 years, risk-free interest rate of 4.5%, volatility of 100% and a dividend yield of zero. As of the balance sheet date of March 31, 2026, the value of the Tranche B Common Warrants was zero, with the change in fair value of $4.4 million and $1.2 million for the three months ended March 31, 2026 and 2025, respectively, recorded in the unaudited condensed consolidated statements of operations in other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Pre-Funded Warrants have a strike price of $0.0001 per share, are deemed equity and included in the equity section of the Company’s unaudited condensed consolidated balance sheets. At date of issuance, the fair value of the Pre-Funded Warrants was $0.5 million using the relative fair value method and were exercised on January 28,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Placement Agent Warrants have a strike price of $0.0001 per share, are deemed equity and included in the equity section of the Company’s unaudited condensed consolidated balance sheets. At date of issuance, the fair value of the Placement Agent Warrants was $0.1 million using the relative fair value method and is included in equity at March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2024, the Company granted a warrant to a consulting firm affiliated with its former interim chief financial officer to purchase 10,000 shares of common stock (“Common Stock Warrant”). At the date of issuance, the fair value of the warrant was $20,000 and was determined utilizing Black-Scholes and will be recognized as general and administrative expense over the vesting periods. Assumptions used in the valuation were as follows: expected term of twelve months, risk free rate of 4.42%, volatility of 89% and a dividend yield of zero. The warrant is classified as equity, and the Company expensed zero and $5,000 for the three months ended March 31, 2026 and 2025, respectively, to general and administrative expense in the unaudited condensed statements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Loan, pursuant to the funding of Tranche 1 on the Closing Date, the Company issued to the Lender a warrant to purchase 641,163 shares of common stock of the Company (the “Warrant”) at an exercise price per share equal to $2.32 (the “Stock Purchase Price”) and are classified as a liability in the Company’s unaudited condensed consolidated balance sheets.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of issuance, the fair value of the Warrant was $1.1 million and was determined utilizing Black-Scholes with the following assumptions: expected term of 5.0 years, risk-free interest rate of 3.9%, volatility of 110% and a dividend yield of zero. The Warrant is exercisable until February 28, 2030 (the “Expiration Date”) and upon a change of control, the Lender would be entitled to receive the shares of common stock underlying the Warrant without payment of the exercise price. As of the balance sheet date March 31, 2026, the value of the Warrant was $0.2 million, with a decrease in fair value of $3.4 million and $0.2 million for the three months ended March 31, 2026 and 2025, respectively, being recorded in the unaudited condensed consolidated statements of operations in other income.</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7. Stock-based Compensation</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2023 Equity Incentive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adopted its 2023 Equity Incentive Plan (the “2023 Plan”), which became effective at the closing of the Merger and replaced the Company’s 2020 Equity Incentive Plan (“2020 Plan”) on the effective date of the Merger. As of the effective date of the Merger, there were 1,000,000 shares of the Company’s common stock available for grant under the 2023 Plan. In addition, the share reserve is subject to annual increases each January 1 for the first ten years following approval of the 2023 Plan of up to 5% of shares of the Company’s common stock outstanding (or a lesser number determined by the Company’s board of directors). Effective January 1, 2024, the shares reserved for issuance under the 2023 Plan was increased by 287,725 shares. Effective March 28, 2024, the Board approved an increase of 1,500,000 shares of the Company’s common stock reserved under the 2023 Plan, which was subsequently approved by the stockholders of the Company on August 27, 2024. Effective on January 1, 2025, the shares reserved for issuance under the 2023 Plan was increased by 674,095 shares. On April 23, 2025 the Board approved an increase of 600,000 shares of the Company’s common stock reserved for issuance under the 2023 Plan, which was subsequently approved by the stockholders of the Company on June 24, 2025. Effective on January 1, 2026, the shares reserved for issuance under the 2023 Plan was increased by 771,870 shares. As of March 31, 2026, no options have been returned to the 2023 Plan and 806,892 shares of the Company’s common stock were available for grant under the 2023 Plan.</w:t>
      </w:r>
    </w:p>
    <w:p>
      <w:pPr>
        <w:pStyle w:val="TextBody"/>
        <w:bidi w:val="0"/>
        <w:spacing w:before="120" w:after="283"/>
        <w:jc w:val="left"/>
        <w:rPr>
          <w:rFonts w:ascii="Times New Roman" w:hAnsi="Times New Roman"/>
          <w:sz w:val="20"/>
        </w:rPr>
      </w:pPr>
      <w:r>
        <w:rPr>
          <w:rFonts w:ascii="Times New Roman" w:hAnsi="Times New Roman"/>
          <w:b/>
          <w:i/>
          <w:color w:val="000000"/>
          <w:sz w:val="20"/>
        </w:rPr>
        <w:t>2023 Employee Stock Purchase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adopted the 2023 Employee Stock Purchase Plan (the “2023 ESPP”) which became effective at the closing of the Merger. As of the effective time of the Merger, there were 65,000 shares of the Company’s common stock reserved for issuance under the 2023 ESPP. In addition, the share reserve is subject to annual increases each January 1 for the first ten years following approval of the 2023 ESPP of the lesser of (i) 1% of the total number of shares of the Company’s common stock outstanding on December 31 of the preceding calendar year, (ii) 195,000 shares of the Company’s common stock, or (iii) such lesser number of shares of the Company’s common stock as determined by the Company’s board of directors. An annual increase of 134,819 and 154,374 shares of the Company’s common stock was automatically added to the share reserve under the 2023 ESPP on January 1, 2025 and 2026, respectively. As of March 31, 2026, 411,738 shares of the Company’s common stock were available for grant under the 2023 ESPP.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no shares have been issued under the 2023 ESPP.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stock option transactions for the 2023 Plan:</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009"/>
        <w:gridCol w:w="146"/>
        <w:gridCol w:w="147"/>
        <w:gridCol w:w="941"/>
        <w:gridCol w:w="166"/>
        <w:gridCol w:w="146"/>
        <w:gridCol w:w="211"/>
        <w:gridCol w:w="338"/>
        <w:gridCol w:w="1086"/>
        <w:gridCol w:w="146"/>
        <w:gridCol w:w="146"/>
        <w:gridCol w:w="514"/>
        <w:gridCol w:w="1647"/>
        <w:gridCol w:w="146"/>
        <w:gridCol w:w="146"/>
        <w:gridCol w:w="211"/>
        <w:gridCol w:w="294"/>
        <w:gridCol w:w="1370"/>
        <w:gridCol w:w="395"/>
      </w:tblGrid>
      <w:tr>
        <w:trPr/>
        <w:tc>
          <w:tcPr>
            <w:tcW w:w="2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0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15,936</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4,841,647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2,940,427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options exercised or granted during the three months ended March 31, 2026. The weighted-average fair value of options granted during the three months ended March 31, 2026 and 2025 was $0 and $2.36, respectively. The total fair value of shares vested was $0.6 million and $0.5 million for the three months ended March 31, 2026 and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stock-based compensation not yet recognized is $4.1 million, which the Company expects to recognize over an estimated weighted-average term of 2.1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are the underlying assumptions in Black-Scholes to determine the fair value of the stock option grants for the three months ended March 31, 2026 and 2025:</w:t>
      </w:r>
    </w:p>
    <w:p>
      <w:pPr>
        <w:pStyle w:val="TextBody"/>
        <w:bidi w:val="0"/>
        <w:spacing w:before="120" w:after="283"/>
        <w:jc w:val="both"/>
        <w:rPr/>
      </w:pPr>
      <w:r>
        <w:rPr/>
        <w:t> </w:t>
      </w:r>
    </w:p>
    <w:tbl>
      <w:tblPr>
        <w:tblW w:w="4721" w:type="dxa"/>
        <w:jc w:val="left"/>
        <w:tblInd w:w="0" w:type="dxa"/>
        <w:tblLayout w:type="fixed"/>
        <w:tblCellMar>
          <w:top w:w="28" w:type="dxa"/>
          <w:left w:w="28" w:type="dxa"/>
          <w:bottom w:w="28" w:type="dxa"/>
          <w:right w:w="28" w:type="dxa"/>
        </w:tblCellMar>
      </w:tblPr>
      <w:tblGrid>
        <w:gridCol w:w="2131"/>
        <w:gridCol w:w="146"/>
        <w:gridCol w:w="1062"/>
        <w:gridCol w:w="245"/>
        <w:gridCol w:w="1137"/>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3.50%</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3.16%</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5.87</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Units (“RSUs”)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RSUs is determined on the date of grant based on the market price of the Company’s common stock on that date. The aggregate grant date fair value of RSUs vested during the three months ended March 31, 2026 was $12,250.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RSU activity for the 2023 Plan: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08"/>
        <w:gridCol w:w="146"/>
        <w:gridCol w:w="181"/>
        <w:gridCol w:w="842"/>
        <w:gridCol w:w="166"/>
        <w:gridCol w:w="146"/>
        <w:gridCol w:w="211"/>
        <w:gridCol w:w="417"/>
        <w:gridCol w:w="1341"/>
        <w:gridCol w:w="146"/>
        <w:gridCol w:w="546"/>
        <w:gridCol w:w="1748"/>
        <w:gridCol w:w="146"/>
        <w:gridCol w:w="211"/>
        <w:gridCol w:w="451"/>
        <w:gridCol w:w="1303"/>
        <w:gridCol w:w="396"/>
      </w:tblGrid>
      <w:tr>
        <w:trPr/>
        <w:tc>
          <w:tcPr>
            <w:tcW w:w="1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to vest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 expense recognized for options, RSUs and Common Stock Warrants granted was as follows (in thousands):</w:t>
      </w:r>
    </w:p>
    <w:p>
      <w:pPr>
        <w:pStyle w:val="TextBody"/>
        <w:bidi w:val="0"/>
        <w:spacing w:before="120" w:after="283"/>
        <w:jc w:val="both"/>
        <w:rPr/>
      </w:pPr>
      <w:r>
        <w:rPr/>
        <w:t> </w:t>
      </w:r>
    </w:p>
    <w:tbl>
      <w:tblPr>
        <w:tblW w:w="6586" w:type="dxa"/>
        <w:jc w:val="left"/>
        <w:tblInd w:w="0" w:type="dxa"/>
        <w:tblLayout w:type="fixed"/>
        <w:tblCellMar>
          <w:top w:w="28" w:type="dxa"/>
          <w:left w:w="28" w:type="dxa"/>
          <w:bottom w:w="28" w:type="dxa"/>
          <w:right w:w="28" w:type="dxa"/>
        </w:tblCellMar>
      </w:tblPr>
      <w:tblGrid>
        <w:gridCol w:w="3651"/>
        <w:gridCol w:w="146"/>
        <w:gridCol w:w="325"/>
        <w:gridCol w:w="649"/>
        <w:gridCol w:w="225"/>
        <w:gridCol w:w="225"/>
        <w:gridCol w:w="325"/>
        <w:gridCol w:w="649"/>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Common Stock Reserved for Future Issuance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Common stock reserved for future issuance consists of the following at March 31, 2026:</w:t>
      </w:r>
    </w:p>
    <w:p>
      <w:pPr>
        <w:pStyle w:val="TextBody"/>
        <w:bidi w:val="0"/>
        <w:spacing w:before="40" w:after="283"/>
        <w:jc w:val="both"/>
        <w:rPr/>
      </w:pPr>
      <w:r>
        <w:rPr/>
        <w:t> </w:t>
      </w:r>
    </w:p>
    <w:tbl>
      <w:tblPr>
        <w:tblW w:w="5740" w:type="dxa"/>
        <w:jc w:val="left"/>
        <w:tblInd w:w="0" w:type="dxa"/>
        <w:tblLayout w:type="fixed"/>
        <w:tblCellMar>
          <w:top w:w="28" w:type="dxa"/>
          <w:left w:w="28" w:type="dxa"/>
          <w:bottom w:w="28" w:type="dxa"/>
          <w:right w:w="28" w:type="dxa"/>
        </w:tblCellMar>
      </w:tblPr>
      <w:tblGrid>
        <w:gridCol w:w="4126"/>
        <w:gridCol w:w="146"/>
        <w:gridCol w:w="146"/>
        <w:gridCol w:w="931"/>
        <w:gridCol w:w="3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3,687,278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4,841,647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issuance under the 2023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under the 2023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9,775,055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the Company may have certain contingent liabilities that arise in the ordinary course of its business activities. The Company accrues liabilities for such matters when future expenditures are probable and such expenditures can be reasonably estimated.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historically entered into contracts in the normal course of business with contract development and manufacturing organizations, for the manufacturing process development and the preclinical/clinical supply manufacturing, and our vendors for preclinical research studies and other services or products for operating purposes. These contracts generally provide for termination on notice of 60 to 90 days. As of March 31, 2026, there are three such contracts related to the CMO for the development of Auxora for $0.4 million of associated costs, still in effect for future services, and there were no unpaid cancellation or other related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also, from time to time, a party or subject to various other legal proceedings and claims, either asserted or unasserted, which arise in the ordinary course of business. Some of these proceedings have involved, and may involve in the future, claims that are subject to substantial uncertainties and unascertainable damages.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Lease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an operating lease for office space in La Jolla, California. In December 2025, the lease was amended and renewed for an additional month-to-month term through March 1, 2026, with an option that was extended for another 12 month term through February 28, 2027, and therefore qualifies for the short-term lease exception. The Company also relocated to smaller premises of approximately 691 square feet with a new monthly rent amount of $4,375. Monthly rent expense of approximately $13,300 was paid for each of the first two months of 2026. Over the next 11 months, we expect cash requirements for our lease obligation to be approximately $48,000.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Rent expense for the three months ended March 31, 2026 and 2025 was $31,000 and $30,000, respectively, which is included in 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11, 2025 Henry McKinnell, a stockholder of the Company (“McKinnell”), filed a complaint (the “Complaint”) against the Company and two members of the Company’s Board of Directors regarding a $1.5 million investment in the Company in connection with the Company’s merger with Graybug. The Complaint was filed in the Superior Court of the State of California for the County of San Diego and alleges that the Company made false representations to McKinnell to induce his investment. McKinnell seeks return of his investment plus interest and attorneys fees. The Complaint asserts causes of action for fraud, violation of the California Corporations Code, conspiracy to commit fraud, breach of contract, and breach of the duty of good faith and fair dealing.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cannot predict the outcome of any litigation. The Company intends to vigorously defend against the allegations made in the Complaint.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 Employee Benefits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2007, Private CalciMedica adopted a defined contribution 401(k) plan for substantially all employees. There were no contributions made by the Company to the 401(k) plan for the three months ended March 31,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did not record a provision or benefit for income taxes during the three months ended March 31, 2026 and 2025 due to continuing losses. As of both March 31, 2026 and December 31, 2025, the Company continues to maintain a full valuation allowance against all of its deferred tax assets in light of its history of cumulative net losses.</w:t>
      </w:r>
    </w:p>
    <w:p>
      <w:pPr>
        <w:pStyle w:val="TextBody"/>
        <w:bidi w:val="0"/>
        <w:spacing w:before="120" w:after="283"/>
        <w:jc w:val="left"/>
        <w:rPr>
          <w:rFonts w:ascii="Times New Roman" w:hAnsi="Times New Roman"/>
          <w:sz w:val="20"/>
        </w:rPr>
      </w:pPr>
      <w:r>
        <w:rPr>
          <w:rFonts w:ascii="Times New Roman" w:hAnsi="Times New Roman"/>
          <w:b/>
          <w:color w:val="000000"/>
          <w:sz w:val="20"/>
        </w:rPr>
        <w:t>11. Net Income (Loss)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computation of basic and diluted net income (loss) per share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101"/>
        <w:gridCol w:w="346"/>
        <w:gridCol w:w="196"/>
        <w:gridCol w:w="1036"/>
        <w:gridCol w:w="146"/>
        <w:gridCol w:w="146"/>
        <w:gridCol w:w="211"/>
        <w:gridCol w:w="196"/>
        <w:gridCol w:w="1036"/>
        <w:gridCol w:w="791"/>
      </w:tblGrid>
      <w:tr>
        <w:trPr/>
        <w:tc>
          <w:tcPr>
            <w:tcW w:w="61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15,746,416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13,511,349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pre-funded warrants outstanding,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306,506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placement agent warrants outstanding,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lender warrants outstanding, basic and diluted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227,969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number of shares used to calculate basic and diluted net income (loss) per share</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15,822,163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14,121,569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number of shares used to calculate basic net income (loss) per share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15,822,163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14,121,569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Effect of potentially dilutive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center"/>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Stock options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RSUs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number of shares used to calculate diluted net income (loss) per share</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16,328,947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14,121,569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outstanding potentially dilutive shares have been excluded from the calculation of diluted net earnings (loss) per share due to their anti-dilutive effect: </w:t>
      </w:r>
    </w:p>
    <w:p>
      <w:pPr>
        <w:pStyle w:val="TextBody"/>
        <w:bidi w:val="0"/>
        <w:jc w:val="both"/>
        <w:rPr/>
      </w:pPr>
      <w:r>
        <w:rPr/>
        <w:t> </w:t>
      </w:r>
    </w:p>
    <w:tbl>
      <w:tblPr>
        <w:tblW w:w="6434" w:type="dxa"/>
        <w:jc w:val="left"/>
        <w:tblInd w:w="0" w:type="dxa"/>
        <w:tblLayout w:type="fixed"/>
        <w:tblCellMar>
          <w:top w:w="28" w:type="dxa"/>
          <w:left w:w="28" w:type="dxa"/>
          <w:bottom w:w="28" w:type="dxa"/>
          <w:right w:w="28" w:type="dxa"/>
        </w:tblCellMar>
      </w:tblPr>
      <w:tblGrid>
        <w:gridCol w:w="3451"/>
        <w:gridCol w:w="146"/>
        <w:gridCol w:w="146"/>
        <w:gridCol w:w="931"/>
        <w:gridCol w:w="146"/>
        <w:gridCol w:w="146"/>
        <w:gridCol w:w="146"/>
        <w:gridCol w:w="931"/>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2,845,554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3,611,531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3,611,531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6,497,085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our unaudited condensed consolidated financial statements included elsewhere in this Quarterly Report on Form 10-Q and our audited financial statements and related notes for the year ended December 31, 2025 included in our Annual Report on Form 10-K filed with the SEC on March 3, 2026. In addition to historical financial information, this discussion and other parts of this report contain forward-looking statements that involve risks and uncertainties. You should carefully read the sections entitled “Special Note Regarding Forward-Looking Statements” and “Risk Factors” to gain an understanding of the important factors that could cause actual results to differ materially from our forward-looking statements.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We are a clinical-stage biopharmaceutical company focused on developing therapeutics for serious illnesses driven by inflammatory and immunologic processes and direct cellular damage. Our product candidates target calcium release-activated calcium (“CRAC”) channels and, if approved, would represent a new class of therapeutics.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and preclinical data suggest that inhibition of CRAC channels may have therapeutic potential through a dual mechanism involving modulation of inflammatory signaling and protection of tissue cells from calcium-mediated injury. Dysregulated CRAC channel signaling has been implicated in a range of acute and chronic diseases characterized by immune activation, inflammation, and cellular injury. We seek to leverage our CRAC channel inhibitor platform to develop therapies for indications in which these pathways are clinically relevant.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lead product candidate is Auxora, a potent and selective, intravenously formulated small-molecule CRAC channel inhibitor containing the active compound zegocractin (formerly CM4620). Auxora has been evaluated in multiple Phase 2 clinical trials across acute critical care settings, including acute pancreatitis (“AP”), severe COVID-19 pneumonia, pediatric asparaginase-induced pancreatic toxicity (“AIPT”), and acute kidney injury (“AKI”) with associated acute hypoxemic respiratory failure (“AHRF”). Results from these studies have informed our understanding of the pharmacologic profile of CRAC channel inhibition in acute inflammatory conditions.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continuing development activities in AP and have engaged with the U.S. Food and Drug Administration (“FDA”) regarding the design of a potential pivotal program in AP, with FDA feedback on program design expected in the second quarter of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2026, following a recommendation from the Independent Data Monitoring Committee (“IDMC”), we paused enrollment in the KOURAGE Phase 2 clinical trial evaluating Auxora in patients with AKI and AHRF due to a safety concern relating to a mortality imbalance that warranted reevaluation of the study design. The IDMC did not identify evidence of drug-related toxicity, and our comprehensive review, performed in conjunction with external experts, reached the same conclusion. Imbalances in the patients’ severity of disease at baseline may have contributed to the observed safety concern. We expect feedback from the FDA regarding potential future development of Auxora in AKI in the second quarter of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parallel, we have generated preclinical data supporting the potential application of CRAC channel inhibition in both chronic and acute inflammatory and immunologic diseases. These efforts include animal model data suggesting potential relevance in pulmonary arterial hypertension (“PAH”), chronic pancreatitis, rheumatoid arthritis, ulcerative colitis, allergic asthma, and traumatic brain injury. Our current nonclinical development efforts are focused on CM5480, an oral CRAC channel inhibitor being advanced for the treatment of pulmonary hypertension, including PAH and other forms of pulmonary hypertension associated with cardiopulmonary disease, with submission of an Investigational New Drug application (“IND”) currently anticipated in 2027,subject to raising additional funds. We also expect to continue selective research activities to further evaluate CRAC channel inhibition across other inflammatory and immunologic indications.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2024, we entered into a Securities Purchase Agreement (the “Purchase Agreement”) with certain accredited investors, in which we sold the following securities to the accredited investors in a private placement transaction (the “2024 Private Placement”): (i) an aggregate of 4,985,610 shares of our common stock; (ii) to certain investors, in lieu of shares, pre-funded warrants (the “Pre-Funded Warrants”) to purchase an aggregate of 306,506 shares of our common stock; (iii) Tranche A Common Warrants (the “Tranche A Common Warrants”) to purchase an aggregate of up to 2,646,058 shares of our common stock (or Pre-Funded Warrants in lieu thereof and, in such case, shares of our common stock issuable upon exercise of such Pre-Funded Warrants); and (iv) Tranche B Common Warrants (the “Tranche B Common Warrants” and together with the Tranche A Common Warrants, the “Common Warrants”) to purchase an aggregate of up to 2,646,058 shares of our common stock (or Pre-Funded Warrants in lieu thereof and, in such case, shares of our common stock issuable upon exercise of such Pre-Funded Warrants). The purchase price per share and accompanying Common Warrants was $3.827 (or $4.3915 for directors, employees or consultants participating in the 2024 Private Placement) (or $3.8269 per Pre-Funded Warrant and accompanying Common Warrants, which represented the price of $3.827 per share and accompanying Common Warrants minus the $0.0001 per share exercise price of each such Pre-Funded Warrant).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initial closing of the 2024 Private Placement occurred on January 23, 2024 and the second closing occurred on February 5, 2024. Gross proceeds from the transaction were $20.4 million with net proceeds of approximately $19.0 million after deducting $1.4 million in commissions and other transaction costs. The Tranche A Common Warrants expired unexercised on July 27,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 2024, we closed an underwritten public offering of 2,720,000 shares of our common stock at a price to the public of $3.75 per share pursuant to the Shelf Registration Statement (the “2024 Follow-On”). The gross proceeds from the offering, before deducting underwriting discounts and commissions and offering expenses, were $10.2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2023, we filed a shelf registration statement on Form S-3 (the “Shelf Registration Statement”), which contains two prospectuses, a base prospectus and an at the market offering prospectus, as supplemented on March 29, 2024 (as supplemented, the “Original Prospectus Supplement”) that covered the offering, issuance and sale of up to $17.3 million of common stock pursuant to an at the market offering agreement (the “ATM Agreement”) with H.C. Wainwright &amp; Co., LLC (“Wainwright”) acting as sales agent (the “ATM Facility”). The Shelf Registration Statement permits the offering, issuance and sale of common stock, preferred stock, debt securities and warrants having an aggregate offering price of up to $100.0 million in one or more offerings and in any combination of the foregoing.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2024 Follow-On, on October 30, 2024, we suspended sales of common stock under the ATM Facility pursuant to the Original Prospectus Supplement, and until December 20, 2024, did not offer for sale any shares of common stock pursuant to the ATM Agreement. We filed a prospectus supplement (the “2024 Prospectus Supplement”) with the SEC on December 20, 2024 for an aggregate gross sales price of up to $4,450,000 of shares of common stock to be sold pursuant to the ATM Facility. As of March 31, 2026, we sold an aggregate of 2,031,828 shares of common stock for net proceeds of approximately $5.8 million after deducting $292,000 of commissions and settlement expenses paid under the ATM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filed a prospectus supplement (the “2025 Prospectus Supplement”) to the Shelf Registration Statement with the SEC on November 6, 2025 providing for the sale of shares of common stock under the ATM Facility having an aggregate gross sales price of up to $9.7 million. As of March 31, 2026, approximately $6.3 million remained available under the ATM Facility for the offer and sale of shares of common stock pursuant to the 2025 Prospectus Supplement.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28, 2025 (the “Closing Date”), we entered into a Loan and Security Agreement and the Supplement to the Loan and Security Agreement (together, the “Loan Agreement”) with Avenue Venture Opportunities Fund II, L.P. (“Lender”) and Avenue Capital Management II, L.P., as administrative agent and collateral agent, for growth capital loans in an aggregate principal amount of up to $32,500,000 (the “Loan”), with (i) $10,000,000 funded on the Closing Date (“Tranche 1”), (ii) up to $7,500,000 to be made available to us between September 1, 2025 and March 31, 2026, which was subject to, among other things, our achievement of certain milestones with respect to certain of its ongoing clinical trials (“Tranche 2”) and (iii) up to $15,000,000 to be made available to us between October 1, 2025 and March 31, 2026, which was subject to, among other things, (a) our achievement of additional milestones with respect to certain of its ongoing clinical trials and (b) the mutual written agreement of us and the Lender (upon its investment committee approval) (“Tranche 3”). In connection with the pause in enrollment in the KOURAGE trial, Tranche 2 and Tranche 3 are no longer available to us. We will make interest only payments until the 18 month anniversary of the Closing Date. The Loan bears interest at an annual rate equal to the greater of (a) the sum of 5.00% plus the prime rate as reported in The Wall Street Journal and (b) 12.75%. The Loan is secured by a lien upon and security interest in all of our assets, including intellectual property, subject to agreed exceptions. The maturity date of the Loan is September 1, 2028 (the “Maturity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3, 2026, we filed a shelf registration statement on Form S-3 (the “2026 Shelf Registration Statement”). The 2026 Shelf Registration Statement permits the offering, issuance and sale of common stock, preferred stock, debt securities and warrants having an aggregate offering price of up to $125.0 million in one or more offerings and in any combination of the foregoing.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 from product sales sufficient to achieve profitability will depend heavily on the successful development and eventual commercialization of one or more of our product candidates. Through March 31, 2026, our operations have been funded primarily by aggregate net proceeds of $193.9 million from the issuance of convertible preferred stock, convertible promissory notes, promissory notes, warrants, common stock, and the Merger. Since inception we have had significant operating losses, except for the three month period ending March 31, 2026 and March 31, 2024. Our net income was $5.0 million for the three months ended March 31, 2026. Included in the net income for the three months ended March 31, 2026 were total operating expenses of $5.6 million and interest expense of $0.3 million, offset by a non-cash gain from the fair value adjustment to our warrant liability and promissory note of $10.8 million and interest income of $0.1 million. As of March 31, 2026, we had an accumulated deficit of $184.4 million and $8.2 million in cash and cash equivalents. We expect that our cash and cash equivalents will enable us to fund our current operating plan into the fourth quarter of 2026. As a result, there is substantial doubt about our ability to continue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to fund operating expenses is impacted by the timing of when we pay these expenses, as reflected in the change in our accounts payable and accrued expenses. We expect to continue to incur net losses from operating activities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product candidates, as well as hire additional personnel, pay fees to outside consultants, lawyers and accountants, and incur other increased costs associated with being a public company. In addition, if and when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expenditures on other research and development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not had any products approved for sale and, therefore, have not generated any product revenue. We do not expect to generate any revenues from product sales unless and until we successfully complete development and obtain regulatory approval for one or more of our product candidates. If we obtain regulatory approval for any of our product candidates, we expect to incur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collaborations, licenses or similar arrangements. However,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 reduce headcount, file for bankruptcy, reorganize, merge with another entity or cease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expenses have included: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personnel costs, which include salaries, benefits and 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under agreements with consultants, third-party contract organizations that conduct research and development activities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production of preclinical and clinical materials, including fees paid to contract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laboratory and vendor expenses related to the execution of preclinical studies and previously planned and ongoing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laboratory supplies and materials used for internal research and development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Most of our historical research and development expenses have been related to the preclinical and clinical development of Auxora. We have not reported program costs since inception because we have not tracked or recorded our research and development expenses on a program-by-program basis historically due to the fact that these costs do not necessarily correlate to the overall research and development efforts attributable to such programs and these costs can vary significantly from period to period. We have historically used our personnel and infrastructure resources across the breadth of our research and development activities, which are directed toward identifying and developing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all research and development costs in the periods in which they are incurred. Costs for certain research and development activities are recognized based on an evaluation of the progress to completion of specific tasks using information and data provided to us by our vendors and third-party service providers.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research and development expenses to increase substantially for the foreseeable future as we continue to invest in research and development activities related to developing our product candidates, including investments in conducting clinical trials, manufacturing and otherwise advancing our programs. The process of conducting the necessary clinical research to obtain regulatory approval is costly and time-consuming, and the successful development of our product candidates is highly uncertain.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product development, we cannot determine with certainty the duration and completion costs of the current or future preclinical studies and clinical trials or if, when, or to what extent we will generate revenues from the commercialization and sale of our product candidates or if we even continue to pursue such product development, commercialization or sales. We may never succeed in achieving regulatory approval for our product candidates. The duration, costs and timing of preclinical studies and clinical trials and development of our remaining product candidates, to the extent we continue to pursue such activities, will depend on a variety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completion of preclinical studies and initiation of clinical trials for Auxora, our other current product candidates and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 enrollment and completion of our clinical trials for our current product candidates or any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data from our clinical programs that support an acceptable risk-benefit profile of our product candidates in the intended patient populations;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acceptance by the FDA, regulatory authorities in Europe, Canada or other regulatory agencies of the IND applications, clinical trial applications and/or other regulatory filings for Auxora, our other current product candidates and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expansion and maintenance of a workforce of experienced scientists and others to continue to develop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application for and receipt of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obtainment and maintenance of intellectual property protection and regulatory exclusivity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arrangements with third-party manufacturers for, or establishment of, clinical and commercial active pharmaceutical ingredient (“API”) and drug product manufacturing capabilities;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establishment of sales, marketing and distribution capabilities and successful launch of commercial sales of our products, if and when approved, whether alone or in collaboration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acceptance of our products, if and when approved, by patients, the medical community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competition with other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obtainment and maintenance of coverage, adequate pricing and adequate reimbursement from third-party payors, including government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maintenance, enforcement, defense and protection of our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avoidance of infringement, misappropriation or other violations with respect to others’ intellectual property or proprietary rights;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maintenance of a continued acceptable safety profile of our products following receipt of any marketing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never succeed in achieving regulatory approval for any of our remaining product candidates. We may obtain unexpected results from our preclinical studies and subsequent clinical trials, if any. We may elect to discontinue, delay or modify future clinical trials or preclinical activities of some product candidates or focus on others. A change in the outcome of any of these factors could mean a significant change in the costs and timing associated with the development of our current preclinical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future clinical trials, if any, we could be required to expend significant additional financial resources and time on the completion of preclinical and clinical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activities account for a significant portion of our operating expenses. We expect our research and development expenses to increase for the foreseeable future as we continue to implement our business strategy, which includes advancing Auxora through clinical development and other product candidates further into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general and administrative expenses consist primarily of personnel costs, depreciation expense and other expenses for outside professional services, including legal related to intellectual property and corporate matters, human resources, audit and accounting services and facility-related fees not otherwise included in research and development expenses. Personnel costs consist of salaries, benefits and equity-based compensation expense for our personnel in executive, finance and accounting, business operations and other administrative functions. We expect our general and administrative expenses to increase over the next several years to support our continued research and development activities, manufacturing activities, increased costs of expanding our operations and operating as a public company. These increases will likely include increases related to the hiring of additional personnel and legal, regulatory and other fees and services associated with maintaining compliance with stock exchange listing rules and SEC requirements, director and officer insurance premiums and investor relations costs associated with being a public company.</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other income includes (i) interest income and expense and non-cash changes in the fair value of the promissory note; (ii) non-cash changes in the fair value of our warrant liabilities; and (iii) other non-operating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March 31, 2026 and 2025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sets forth our results of operations (in thousands):</w:t>
      </w:r>
    </w:p>
    <w:p>
      <w:pPr>
        <w:pStyle w:val="TextBody"/>
        <w:bidi w:val="0"/>
        <w:spacing w:before="120" w:after="283"/>
        <w:jc w:val="both"/>
        <w:rPr/>
      </w:pPr>
      <w:r>
        <w:rPr/>
        <w:t> </w:t>
      </w:r>
    </w:p>
    <w:tbl>
      <w:tblPr>
        <w:tblW w:w="7200" w:type="dxa"/>
        <w:jc w:val="left"/>
        <w:tblInd w:w="0" w:type="dxa"/>
        <w:tblLayout w:type="fixed"/>
        <w:tblCellMar>
          <w:top w:w="28" w:type="dxa"/>
          <w:left w:w="28" w:type="dxa"/>
          <w:bottom w:w="28" w:type="dxa"/>
          <w:right w:w="28" w:type="dxa"/>
        </w:tblCellMar>
      </w:tblPr>
      <w:tblGrid>
        <w:gridCol w:w="2561"/>
        <w:gridCol w:w="146"/>
        <w:gridCol w:w="211"/>
        <w:gridCol w:w="676"/>
        <w:gridCol w:w="166"/>
        <w:gridCol w:w="146"/>
        <w:gridCol w:w="211"/>
        <w:gridCol w:w="631"/>
        <w:gridCol w:w="166"/>
        <w:gridCol w:w="146"/>
        <w:gridCol w:w="211"/>
        <w:gridCol w:w="676"/>
        <w:gridCol w:w="166"/>
        <w:gridCol w:w="146"/>
        <w:gridCol w:w="94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(17%)</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20"/>
              </w:rPr>
            </w:pPr>
            <w:r>
              <w:rPr>
                <w:rFonts w:ascii="Times New Roman" w:hAnsi="Times New Roman"/>
                <w:color w:val="000000"/>
                <w:sz w:val="20"/>
              </w:rPr>
              <w:t>(6%)</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628%</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(199%)</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comprised (in thousands):</w:t>
      </w:r>
    </w:p>
    <w:p>
      <w:pPr>
        <w:pStyle w:val="TextBody"/>
        <w:bidi w:val="0"/>
        <w:spacing w:before="120" w:after="283"/>
        <w:jc w:val="both"/>
        <w:rPr/>
      </w:pPr>
      <w:r>
        <w:rPr/>
        <w:t> </w:t>
      </w:r>
    </w:p>
    <w:tbl>
      <w:tblPr>
        <w:tblW w:w="8540" w:type="dxa"/>
        <w:jc w:val="left"/>
        <w:tblInd w:w="0" w:type="dxa"/>
        <w:tblLayout w:type="fixed"/>
        <w:tblCellMar>
          <w:top w:w="28" w:type="dxa"/>
          <w:left w:w="28" w:type="dxa"/>
          <w:bottom w:w="28" w:type="dxa"/>
          <w:right w:w="28" w:type="dxa"/>
        </w:tblCellMar>
      </w:tblPr>
      <w:tblGrid>
        <w:gridCol w:w="4396"/>
        <w:gridCol w:w="146"/>
        <w:gridCol w:w="211"/>
        <w:gridCol w:w="571"/>
        <w:gridCol w:w="146"/>
        <w:gridCol w:w="146"/>
        <w:gridCol w:w="211"/>
        <w:gridCol w:w="571"/>
        <w:gridCol w:w="146"/>
        <w:gridCol w:w="146"/>
        <w:gridCol w:w="211"/>
        <w:gridCol w:w="481"/>
        <w:gridCol w:w="166"/>
        <w:gridCol w:w="146"/>
        <w:gridCol w:w="846"/>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studies and clinical trial-related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Chemistry, manufacturing and controls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Consultants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(22%)</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were $3.5 million for the three months ended March 31, 2026, compared to $4.2 million for the three months ended March 31, 2025. The decrease of $0.7 million was due primarily to a decrease of $0.5 million in preclinical and clinical trial activities relating to Auxora and our oral compound, a decrease of $0.3 million in chemistry, manufacturing and control and a decrease in consultants and other costs of $0.1 million offset by an increase of $0.2 million in personnel.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to support our business activities comprised (in thousands):</w:t>
      </w:r>
    </w:p>
    <w:p>
      <w:pPr>
        <w:pStyle w:val="TextBody"/>
        <w:bidi w:val="0"/>
        <w:spacing w:before="120" w:after="283"/>
        <w:jc w:val="both"/>
        <w:rPr/>
      </w:pPr>
      <w:r>
        <w:rPr/>
        <w:t> </w:t>
      </w:r>
    </w:p>
    <w:tbl>
      <w:tblPr>
        <w:tblW w:w="7780" w:type="dxa"/>
        <w:jc w:val="left"/>
        <w:tblInd w:w="0" w:type="dxa"/>
        <w:tblLayout w:type="fixed"/>
        <w:tblCellMar>
          <w:top w:w="28" w:type="dxa"/>
          <w:left w:w="28" w:type="dxa"/>
          <w:bottom w:w="28" w:type="dxa"/>
          <w:right w:w="28" w:type="dxa"/>
        </w:tblCellMar>
      </w:tblPr>
      <w:tblGrid>
        <w:gridCol w:w="3741"/>
        <w:gridCol w:w="146"/>
        <w:gridCol w:w="211"/>
        <w:gridCol w:w="571"/>
        <w:gridCol w:w="146"/>
        <w:gridCol w:w="146"/>
        <w:gridCol w:w="211"/>
        <w:gridCol w:w="571"/>
        <w:gridCol w:w="146"/>
        <w:gridCol w:w="146"/>
        <w:gridCol w:w="211"/>
        <w:gridCol w:w="481"/>
        <w:gridCol w:w="166"/>
        <w:gridCol w:w="146"/>
        <w:gridCol w:w="74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Consultants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(8%)</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were $2.1 million for the three months ended March 31, 2026, compared to $2.3 million for the three months ended March 31, 2025. The decrease of $0.2 million was primarily related to a decrease in personnel costs of $0.1 million and immaterial decreases in professional services, consultants and other costs and facilities totaling $0.1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for the three months ended March 31, 2026 was $10.6 million, compared to $1.5 million for the three months ended March 31, 2025. The increase of $9.1 million was due to a $2.7 million and $6.4 increase in income resulting from a gain due to the fair value adjustments to our promissory note and common stock warrants, respectively, and an offsetting decrease in interest expense associated with our promissory note of $0.1 million and an increase of $0.1 million of interest income.</w:t>
      </w:r>
    </w:p>
    <w:p>
      <w:pPr>
        <w:pStyle w:val="TextBody"/>
        <w:bidi w:val="0"/>
        <w:spacing w:before="12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we had cash and cash equivalents of $8.2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further described below, on February 28, 2025, the Company entered into the Loan Agreement with Avenue Venture Opportunities Fund II, L.P. and Avenue Capital Management II, L.P. for an initial $10.0 million of gross proceeds. During the three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months ended March 31, 2026, there were no shares sold under the ATM Facility. On November 6, 2025, we filed the 2025 Prospectus Supplement which increased our capacity for sales under the ATM Facility to $9.7 million. As of March 31, 2026, our remaining capacity for sales of common stock under the ATM Facility was $6.3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on a basis which assumes we are a going concern and does not include any adjustments to reflect the possible future effects on the recoverability and classification of assets or the amounts and classifications of liabilities that may result from any uncertainty related to our ability to continue as a going concern. Based on our current operating plans, we believe our cash and cash equivalents may not be sufficient to fund our operations for the period one year following the issuance of the accompanying financial statements. Specifically, we expect that our cash and cash equivalents will allow us to fund the current operating plan into the fourth quarter of 2026. As a result, there is substantial doubt about the Company’s ability to continue as a going concern. In addition, our current cash and cash equivalents will not be sufficient to fund any of our product candidates through regulatory approval, nor will it be sufficient to pursue additional indications for Auxora, nor will it be sufficient to fund clinical work on other product candidates in our portfolio aside from Auxora, and we will need to raise substantial additional capital to complete the development and commercialization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maintain sufficient financial resources, our business, financial condition and results of operations will be materially and adversely affected. To fund our operations in both the near term and long term, we will need to raise additional capital to develop our product candidates and implement our operating plans. There can be no assurance that we will be able to obtain the needed financing on acceptable terms or at all. Additionally, equity or debt financings may have a dilutive effect on the holdings of our existing stockholders. In addition, the terms of the Loan Agreement contain certain restrictions on incurring additional indebtedness.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progress, costs and results of our ongoing clinical trials of Auxora and our planned trials for our other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discovery research, preclinical development, laboratory testing and clinical trials for our product candidates, including our ongoing clinical trials of Auxora;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and development requirements for, other product candidates that we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enter into contract manufacturing arrangements for supply of API and manufacture of drug product for our product candidates and the terms of such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strategic collaborations, licensing or other arrangements and the financial terms of such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payment or receipt of milestones and receipt of other collaboration-based revenues,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any future commercialization activities, including product manufacturing, sales, marketing and distribution, for any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and timing of revenue, if any, received from commercial sales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and proprietary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we acquire or in-license other products, product candidates, technologies or data referencing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receive additional non-dilutive funding, including grants from organizations and foundations;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service and comply with the terms of our outstanding indebtedness;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impacts of global health pandemics, geopolitical conflicts and economic uncertainty, including tariffs and other trade measures, rising interest rates and inflation on our business and operations, including clinical trials, collaborators, CROs and employees;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we commenced operations in October 2006, we have primarily financed our operations through private placements of our preferred stock, convertible promissory notes, promissory notes, warrants, common stock, and through the Merger. We have used substantial amounts of cash to fund our operations and expect our expenses to increase substantially for the foreseeable future. The development of drug product candidates is highly capital intensive. As our product candidates enter and advance through preclinical studies and clinical trials, we will need substantial additional funds to expand our clinical, regulatory and quality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capabilities. In addition, if we obtain marketing approval for any of our product candidates, we expect to incur significant commercialization expenses related to marketing, sales, manufacturing and distribution. Furthermore, we have incurred and expect to continue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 The global credit and financial markets have experienced extreme volatility, including in liquidity and credit availability, declines in consumer confidence, declines in economic growth, and uncertainty about economic stability. There can be no assurance that deterioration in credit and financial markets and confidence in economic conditions will not occur. If equity and credit markets deteriorate, it may make any necessary debt or equity financing more difficult to obtain, more costly and/or more dilutive.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finance our longer-term expected future cash requirements and obligations through a combination of existing cash and cash equivalents and equity offerings, debt financings or other capital sources, including collaborations, licenses or similar arrangements. To continue to finance our operations, we will need to raise additional capital, which cannot be assured. We have based this estimate on assumptions that may prove to be wrong, and we could exhaust our available capital resources sooner than we expect. We will continue to require additional financing to advance our current product candidates through clinical development, to develop, acquire or in-license other potential product candidates and to fund operations for the foreseeable future. However, we may be unable to raise additional funds or enter into such other arrangement when needed or on favorable terms, if at all.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 reduce headcount, file for bankruptcy, reorganize, merge with another entity or cease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2023, we filed the Shelf Registration Statement, which contains two prospectuses, a base prospectus and the Original Prospectus Supplement that covered the offering, issuance and sale of up to $17.3 million of common stock pursuant to the ATM Agreement with Wainwright, acting as sales agent. The Shelf Registration Statement permits the offering, issuance and sale of common stock, preferred stock, debt securities and warrants having an aggregate offering price of up to $100.0 million in one or more offerings and in any combination of the foregoing.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2024, we entered into the Purchase Agreement with certain accredited investors, in which we sold the following securities to the accredited investors the 2024 Private Placement: (i) an aggregate of 4,985,610 shares of our common stock; (ii) to certain investors, in lieu of shares, Pre-Funded Warrants to purchase an aggregate of 306,506 shares of our common stock; (iii) Tranche A Common Warrants to purchase an aggregate of up to 2,646,058 shares of our common stock (or Pre-Funded Warrants in lieu thereof and, in such case, shares of our common stock issuable upon exercise of such Pre-Funded Warrants); and (iv) Tranche B Common Warrants to purchase an aggregate of up to 2,646,058 shares of our common stock (or Pre-Funded Warrants in lieu thereof and, in such case, shares of our common stock issuable upon exercise of such Pre-Funded Warrants). The purchase price per share and accompanying Common Warrants was $3.827 (or $4.3915 for directors, employees or consultants participating in the 2024 Private Placement) (or $3.8269 per Pre-Funded Warrant and accompanying Common Warrants, which represented the price of $3.827 per share and accompanying Common Warrants minus the $0.0001 per share exercise price of each such Pre-Funded Warrant).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initial closing of the 2024 Private Placement occurred on January 23, 2024 and the second closing occurred on February 5, 2024. Gross proceeds from the transaction were $20.4 million with net proceeds of approximately $19.0 million after deducting $1.4 million in commissions and other transaction costs. The Tranche A Common Warrants expired unexercised on July 27,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 2024, we closed the 2024 Follow-On. The gross proceeds from the offering, before deducting underwriting discounts and commissions and offering expenses, were $10.2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2024 Follow-On, on October 30, 2024, we suspended sales of common stock under the ATM Facility pursuant to the Original Prospectus Supplement, and until December 20, 2024, did not offer for sale any shares of common stock. We filed the 2024 Prospectus Supplement with the SEC on December 20, 2024 providing for the sale of shares of common stock under the ATM Facility having an aggregate gross sales price of up to $4.45 million of shares of common stock. As of March 31, 2026, we sold an aggregate of 2,031,828 shares of common stock for net proceeds of approximately $5.8 million, after deducting $292,000 of commissions and settlement expenses paid under the ATM Facility. As of March 31, 2026, our remaining capacity for sales of common stock under the ATM Facility was $2.6 million. On November 6, 2025, we filed the 2025 Prospectus Supplement which increased our capacity for sales of common stock under the ATM Facility of up to $9.7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28, 2025, we entered into the Loan Agreement with Avenue Venture Opportunities Fund II, L.P. and Avenue Capital Management II, L.P., as administrative agent and collateral agent, for growth capital loans in an aggregate principal amount of up to $32,500,000, with (i) Tranche 1 for $10,000,000 funded on the Closing Date, (ii) Tranche 2 for up to $7,500,000 to be made available to us between September 1, 2025 and March 31, 2026, which was subject to, among other things, our achievement of certain milestones with respect to certain of our ongoing clinical trials and (iii) Tranche 3 for up to $15,000,000 to be made available to the Company between October 1, 2025 and March 31, 2026, which was subject to, among other things, (a) our achievement of additional milestones with respect to certain of its ongoing clinical trials and (b) the mutual written agreement of us and the Lender (upon its investment committee approval). In connection with the pause in enrollment in the KOURAGE trial,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Tranche 2 and Tranche 3 are no longer available to the Company. We will make interest only payments until the 18 month anniversary of the Closing Date. The Loan bears interest at an annual rate equal to the greater of (a) the sum of 5.00% plus the prime rate as reported in The Wall Street Journal and (b) 12.75%. The Loan is secured by a lien upon and security interest in all of our assets, including intellectual property, subject to agreed exceptions. The Maturity Date of the Loan is September 1, 2028.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3, 2026, we filed a shelf registration statement on Form S-3 (the “2026 Shelf Registration Statement”). The 2026 Shelf Registration Statement permits the offering, issuance and sale of common stock, preferred stock, debt securities and warrants having an aggregate offering price of up to $125.0 million in one or more offerings and in any combination of the foregoing.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through March 31, 2026, have been funded primarily by aggregate net proceeds of $193.9 million from the issuance of convertible preferred stock, convertible notes, promissory notes, warrants, common stock, and the Merger. Since inception, we have had significant operating losses, except for the three month period ending March 31, 2026 and 2024. Our net income for the three months ended March 31, 2026 was $5.0 million and consisted of total operating expenses of $5.6 million and interest expense of $0.3 million offset by a non-cash gain from the fair value adjustment to our warrant liability and promissory note of $10.8 million and interest income of $0.1 million. For the three months ended March 31, 2025, our net loss was $5.0 million consisting of $6.5 million of operating expenses and $0.4 million of interest expense offset by a non-cash gain from the fair value adjustment to our warrant liability of $1.7 million and interest income of $0.2 million. As of March 31, 2026, we had an accumulated deficit of $184.4 million and $8.2 million in cash and cash equivalents. During the three months ended March 31, 2026, cash used in operations was $4.9 million, primarily due to cash outlays for operations. 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spacing w:before="120" w:after="283"/>
        <w:jc w:val="both"/>
        <w:rPr/>
      </w:pPr>
      <w:r>
        <w:rPr/>
        <w:t> </w:t>
      </w:r>
    </w:p>
    <w:tbl>
      <w:tblPr>
        <w:tblW w:w="6919" w:type="dxa"/>
        <w:jc w:val="left"/>
        <w:tblInd w:w="0" w:type="dxa"/>
        <w:tblLayout w:type="fixed"/>
        <w:tblCellMar>
          <w:top w:w="28" w:type="dxa"/>
          <w:left w:w="28" w:type="dxa"/>
          <w:bottom w:w="28" w:type="dxa"/>
          <w:right w:w="28" w:type="dxa"/>
        </w:tblCellMar>
      </w:tblPr>
      <w:tblGrid>
        <w:gridCol w:w="4321"/>
        <w:gridCol w:w="146"/>
        <w:gridCol w:w="211"/>
        <w:gridCol w:w="631"/>
        <w:gridCol w:w="166"/>
        <w:gridCol w:w="146"/>
        <w:gridCol w:w="211"/>
        <w:gridCol w:w="676"/>
        <w:gridCol w:w="4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Cash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used in operating activities of $4.9 million during the three months ended March 31, 2026 was attributable to our net income of $5.0 million and a net change in our operating assets and liabilities of $0.4 million offset by non-cash items of $10.3 million. Non-cash items consisted primarily of $10.8 million due to a change in the fair value of our financial instruments offset by $0.5 million of stock-based compensation expense.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used in operating activities of $4.9 million during the three months ended March 31, 2025 was attributable to our net loss of $5.0 million and non-cash items of $0.9 million offset by a net change in our operating assets and liabilities of $1.0 million. Non-cash items consisted primarily of $1.4 million and $0.3 million due to a change in our warrant liabilities and long term debt and accretion on our short term investments of $0.1 million offset by $0.6 million of stock-based compensation expense and debt costs of $0.3 million as a result of the debt financing in the first quarter of 2025.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Net Cash Provided by (Used In)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investing activities of $1.5 million for the three months ended March 31, 2026 consisted of the maturing of short-term 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of $1.2 million for the three months ended March 31, 2025 consisted of purchases of short-term investments of $6.6 million offset by the maturing of short-term investments of $5.4 million.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Net Cash Provided by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for the three months ended March 31, 2026 was nil and comprised of an immaterial exercise of pre-funded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for the three months ended March 31, 2025 was $10.8 and comprised of the debt financing of $9.8 million and $1.0 million as a result of our ATM Facility.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material cash requirements from known contractual obligations consisted primarily of our lease obligation and Loan Agreement. We lease office space in La Jolla, California with monthly rent expense of approximately $4,375 pursuant to a lease agreement that commenced on March 1, 2026 for another 12 month term through February 28, 2027. We also relocated to smaller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premises of approximately 691 square feet. Monthly rent expense of approximately $13,300 was paid for each of the first two months of 2026. Over the next 11 months, we expect cash requirements for our lease obligation to be approximately $48,000.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terms of the Loan Agreement with Avenue Venture Opportunities Fund II, L.P. and Avenue Capital Management II, L.P., we will make interest only payments until the 18 month anniversary of the Closing Date and we will be required to make principal payments beginning in October 2026. The maturity date of the Loan is September 2028.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 into contracts in the normal course of business with third-party service providers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 and we cannot reasonably estimate the timing of if and when they will occur. We could also enter into additional research, manufacturing, supplier and other agreements in the future, which may require up-front payments and even long-term commitments of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from time to time, become party or subject to various other legal proceedings and claims, either asserted or unasserted, which arise in the ordinary course of business. Some of these proceedings have involved, and may involve in the future, claims that are subject to substantial uncertainties and unascertainable damages.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incur substantial expenses associated with clinical trials. Accounting for clinical trials relating to activities performed by CROs and other external vendors requires management to make estimates in regard to the timing and accounting for these expenses. We estimate costs of research and development activities conducted by service providers, which include the conduct of sponsored research, preclinical studies and contract manufacturing activities. The diverse nature of services being provided under CRO and other arrangements, the different compensation arrangements that exist for each type of service and the lack of timely information related to certain clinical activities complicates the estimation of accruals for services rendered by CROs and other vendors in connection with clinical trials. We record the estimated costs of research and development activities based upon the number of services provided but not yet invoiced and include these costs in the accrued and other current liabilities on the balance sheets and within research and development expense on the statements of operations, and payments made prior to the receipt of goods or services to be used in research and development are capitalized until the goods or services are received. In estimating the duration of a clinical trial, we evaluate the start-up, treatment and wrap-up periods, compensation arrangements and services rendered attributable to each clinical trial and fluctuations are regularly tested against payment plans and trial completion assumptions.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Accrued Clinical Trial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estimate these costs based on factors such as estimates of the work completed and budget provided and in accordance with agreements established with our collaboration partners and third-party service providers. We make estimates in determining the accrued liabilities and prepaid expense balances in each reporting period. As actual costs become known, we adjust our accrued liabilities or prepaid expenses. We have not experienced any material differences between accrued costs and actual costs incurred since our inception.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expenses related to clinical trials are based on patient enrollment and related expenses at clinical investigator sites as well as estimates for the services received and efforts expended pursuant to contracts with multiple research institutions and CROs that may be used to conduct and manage clinical trials on our behalf.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Fair Value of the Promissory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elected the fair value option for the promissory note and estimated the fair value based on a discounted cash flow analysis, a form of the Income Approach. Several different settlement scenarios were considered, and probability weighted to arrive at the final valuation. Increases or decreases in the fair value of the promissory note can result from updates to assumptions such as the expected timing or probability of the different settlement scenarios, or changes in discount rates. Judgment is used in determining these assumptions as of the initial valuation date and at each subsequent reporting period. Updates to assumptions could have a significant impact on our results of operations in any given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Valuation of Common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Common Warrants were valued using Black-Scholes utilizing the following inputs; (i) a risk-free interest rate (ii) volatility based on the expected term of the Common Warrant (iii) and an exercise price and stock price on the date of the transaction. Several different scenarios were considered, and probability weighted to arrive at the final valuation. Increases or decreases in the fair value of the Common Warrants can result from updates to assumptions such as the expected timing or probability of the different settlement scenarios. Judgment is used in determining these assumptions as of the initial valuation date and at each subsequent reporting period. Updates to assumptions could have a significant impact on our results of operations in any given period.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“smaller reporting company,” as defined by Rule 12b-2 of the Securities Exchange Act of 1934, as amended (the “Exchange Act”), because both the market value of our stock held by non-affiliates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June 30th. As a smaller reporting company, we may rely on exemptions from certain disclosure requirements that are available to smaller reporting companies, including only presenting the two most recent fiscal years of audited financial statements in our Annual Report on Form 10-K, simplified executive compensation disclosures and being exempt from the provisions of Section 404(b) of the Sarbanes-Oxley Act requiring that an independent registered public accounting firm provide an attestation report on the effectiveness of internal control over financial reporting.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120" w:after="283"/>
        <w:jc w:val="both"/>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jc w:val="both"/>
        <w:rPr>
          <w:rFonts w:ascii="Times New Roman" w:hAnsi="Times New Roman"/>
          <w:color w:val="000000"/>
          <w:sz w:val="20"/>
        </w:rPr>
      </w:pPr>
      <w:r>
        <w:rPr>
          <w:rFonts w:ascii="Times New Roman" w:hAnsi="Times New Roman"/>
          <w:color w:val="000000"/>
          <w:sz w:val="20"/>
        </w:rPr>
        <w:t xml:space="preserve">Our management, with the participation and supervision of our Chief Executive Officer and our Chief Financial Officer, have evaluated our disclosure controls and procedures (as defined in Rules 13a-15(e) and 15d-15(e) under the Exchange Act) as of the end of the period covered by this Quarterly Report on Form 10-Q.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that evaluation, our Chief Executive Officer and Chief Financial Officer have concluded that, as of the end of the period covered by this Quarterly Report on Form 10-Q, our disclosure controls and procedures were effective at a reasonable assurance level.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during the quarter ended March 31, 2026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_or_information"/>
      <w:bookmarkEnd w:id="13"/>
      <w:r>
        <w:rPr>
          <w:rFonts w:ascii="Times New Roman" w:hAnsi="Times New Roman"/>
          <w:b/>
          <w:color w:val="000000"/>
          <w:sz w:val="20"/>
        </w:rPr>
        <w:t>PART II – OTHER INFORMATION</w:t>
      </w:r>
    </w:p>
    <w:p>
      <w:pPr>
        <w:pStyle w:val="TextBody"/>
        <w:bidi w:val="0"/>
        <w:spacing w:before="240" w:after="283"/>
        <w:jc w:val="both"/>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discussion of legal matters as of March 31, 2026, please refer to </w:t>
      </w:r>
      <w:r>
        <w:rPr>
          <w:rFonts w:ascii="Times New Roman" w:hAnsi="Times New Roman"/>
          <w:i/>
          <w:color w:val="000000"/>
          <w:sz w:val="20"/>
        </w:rPr>
        <w:t xml:space="preserve">Note 8, Commitments and Contingencies, </w:t>
      </w:r>
      <w:r>
        <w:rPr>
          <w:rFonts w:ascii="Times New Roman" w:hAnsi="Times New Roman"/>
          <w:color w:val="000000"/>
          <w:sz w:val="20"/>
        </w:rPr>
        <w:t>which is incorporated into this item by reference.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and from time to time in the future may be involved in legal proceedings arising in the ordinary course of our business. There are currently no other claims or actions pending against us, the ultimate disposition of which we believe could have a material adverse effect on our results of operations. Regardless of outcome, litigation can have an adverse impact on us because of defense and settlement costs, diversion of management resources and other factors.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1A. Risk Factors.</w:t>
      </w:r>
    </w:p>
    <w:p>
      <w:pPr>
        <w:pStyle w:val="TextBody"/>
        <w:bidi w:val="0"/>
        <w:spacing w:before="240" w:after="283"/>
        <w:jc w:val="center"/>
        <w:rPr>
          <w:rFonts w:ascii="Times New Roman" w:hAnsi="Times New Roman"/>
          <w:sz w:val="20"/>
        </w:rPr>
      </w:pPr>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and uncertainties described below, together with all of the other information contained in this Quarterly Report on Form 10-Q, including our financial statements and the related notes and the section titled “Management’s Discussion and Analysis of Financial Condition and Results of Operations,” before deciding to invest in our common stock.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If any of the following risks actually occur, our business, prospects, operating results and financial condition could suffer materially. In such event, the trading price of our common stock could decline and you might lose all or part of your investment. The risk factors set forth below that are marked with an asterisk (*) did not appear as separate risk factors in, or contain changes to the similarly titled risk factor included in Item 1A. of our Annual Report on Form 10-K, filed with the SEC on March 3, 2026.</w:t>
      </w:r>
    </w:p>
    <w:p>
      <w:pPr>
        <w:pStyle w:val="TextBody"/>
        <w:bidi w:val="0"/>
        <w:spacing w:before="120" w:after="283"/>
        <w:jc w:val="left"/>
        <w:rPr>
          <w:rFonts w:ascii="Times New Roman" w:hAnsi="Times New Roman"/>
          <w:sz w:val="20"/>
        </w:rPr>
      </w:pPr>
      <w:bookmarkStart w:id="15" w:name="item_1a_risk_factors"/>
      <w:bookmarkEnd w:id="15"/>
      <w:r>
        <w:rPr>
          <w:rFonts w:ascii="Times New Roman" w:hAnsi="Times New Roman"/>
          <w:b/>
          <w:color w:val="000000"/>
          <w:sz w:val="20"/>
        </w:rPr>
        <w:t>Risks Related to Our Limited Operating History, Financial Position and Capital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We have a history of net losses and anticipate that we will incur significant losses in the future. We have never generated any revenue from product sales and may never be profitable.*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clinical-stage biopharmaceutical company with a limited operating history that may make it difficult to evaluate the success of our business to date and assess our future viability. We commenced operations in October 2006, have no products approved for commercial sale and have never generated any revenue. We have devoted substantially all of our resources to organizing and staffing our company, business planning, establishing and maintaining our intellectual property portfolio, raising capital, developing our product candidates, undertaking research and development activities, and providing general and administrative support for these operations. We are conducting clinical trials and preclinical studies for our lead product candidate, Auxora.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28, 2025, we entered into the Loan Agreement with Avenue Venture Opportunities Fund (the “Lender”), for an initial growth capital loan in the principal amount of $10,000,000 funded on March 3, 2025 (“Loan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conducting KOURAGE, a Phase 2 randomized, double-blind, placebo-controlled clinical trial in patients with Stage 2 or Stage 3 AKI and associated AHRF. Enrollment was paused in January 2026 following a recommendation from the Independent Data Monitoring Committee due to a safety concern relating to a mortality imbalance that warranted reevaluation of the study design. We are also supporting an investigator-initiated Phase 1/2 clinical trial in pediatric patients with AIPT. In addition, we completed a Phase 2b trial of Auxora in AP with accompanying SIRS and are planning a potential pivotal trial in this indication, and we previously completed a Phase 2 trial in patients with COVID-19 pneumonia with 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other pipeline programs, which include new product candidates, are in preclinical development. As of March 31, 2026, we had an accumulated deficit of $184.4 million and net income of $5.0 million for the three months ended March 31, 2026. Other than the three months ended March 31, 2026 and 2024, we have incurred net losses since our inception. We have never generated revenue from product sales and we expect that it will be several years, if ever, before we have a product candidate ready for commercialization. We expect to incur increasing levels of operating losses over the next several years and for the foreseeable future as we advance our product candidates through clinical development. Our prior losses, combined with expected future losses, have had and will continue to have an adverse effect on our stockholders’ equity and working capital.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become and remain profitable, we must develop and eventually commercialize product candidates with significant market potential. This will require us to be successful in a range of challenging activities, including completing preclinical studies and clinical trials of our product candidates, obtaining marketing approval for these product candidates, finding external manufacturing capacity sufficient to meet commercial demand, marketing and selling those product candidates for which we may obtain marketing approval and satisfying any post-marketing requirements. We may never succeed in these activities and, even if we succeed in commercializing one or more of our product candidates, we may never generate revenue that is significant or large enough to achieve profitability. In addition, as a young business, we may encounter unforeseen expenses, difficulties, complications, delays and other known and unknown challenges.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would decrease the value of the company and could impair our ability to raise capital, maintain our research and development efforts, expand our business or continue our operations. A decline in the value of our company could also cause you to lose all or part of your investment.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Our need for additional capital raises substantial doubt about our ability to continue as a going concern. We will need to obtain substantial additional funding to complete the development and any commercialization of our product candidates. If we are unable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to raise this capital when needed, on acceptable terms, or at all, we may be forced to delay, reduce or eliminate the development of our product candidates or other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we commenced operations in October 2006, we have primarily financed our operations through private placements of our preferred stock, convertible promissory notes, warrants and common stock, through the Merger with Graybug, through sales under our ATM Facility, through an underwritten public offering, and through our growth capital loan with Avenue Venture Opportunities Fund. We have used substantial amounts of cash to fund our operations and expect our expenses to increase substantially for the foreseeable future. The development of drug product candidates is highly capital intensive. As our product candidates enter and advance through preclinical studies and clinical trials, we will need substantial additional funds to expand our clinical, regulatory and quality capabilities. In addition, if we obtain marketing approval for any of our product candidates, we expect to incur significant commercialization expenses related to marketing, sales, manufacturing and distribution.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Quarterly Report on Form 10-Q includes disclosures regarding management’s assessment of our ability to continue as a going concern as our current liquidity position and recurring losses from operations since inception and negative cash flows from operating activities raise substantial doubt about our ability to continue as a going concern. As of March 31, 2026, we had $8.2 million in cash and cash equivalents. Based on our current operating plans, we believe our existing resources will be sufficient to fund our current operations into the fourth quarter of 2026. As a result, there is substantial doubt about our ability to continue as a going concern. In addition, our current cash and cash equivalents will not be sufficient to fund any of our product candidates through regulatory approval, nor will it be sufficient to pursue additional indications for Auxora like AHRF, nor will it be sufficient to fund clinical trials on other product candidates in our portfolio, and we will need to raise substantial additional capital to complete the development and any commercialization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on a basis which assumes we are a going concern and does not include any adjustments to reflect the possible future effects on the recoverability and classification of assets or the amounts and classifications of liabilities that may result from any uncertainty related to our ability to continue as a going concern.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based these estimates on assumptions that may prove to be incorrect or require adjustment as a result of business decisions, and we could utilize our available capital resources sooner than we currently expect. Our future funding requirements will depend on many factors, including, but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progress, costs and results of our ongoing clinical trials of Auxora and our planned trials for our other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service and comply with the terms of our outstanding indebtedness;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discovery research, preclinical development, laboratory testing and clinical trials for our product candidates, including our ongoing clinical trials of Auxora;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enter into contract manufacturing arrangements for supply of active pharmaceutical ingredient (“API”) and manufacture of drug product for our product candidates and the terms of such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any future commercialization activities, including product manufacturing, sales, marketing and distribution, for any of our product candidates for which we may receive marketing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and timing of revenue, if any, received from commercial sales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and proprietary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in-license other products, product candidates, technologies or data referencing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strategic collaborations, licensing or other arrangements and the financial terms of such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payment or receipt of milestones and receipt of other collaboration-based revenues,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and development requirements for, other product candidates that we pursue;</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impacts of the ongoing or future international conflicts and potential future bank failures and international tariffs;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we do not expect to generate revenue from product candidate sales for many years, if at all, we will need to obtain substantial additional funding in connection with our continuing operations and expected increases in expenses. Until such time as we can generate significant revenue from sales of our product candidates, if ever, we expect to finance our cash needs through equity offerings, debt financings or other capital sources, including potentially grants, collaborations, licenses or other similar arrangements.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The impacts of the ongoing or future international conflicts and potential future bank failures and international tariffs on capital markets may affect the availability, amount and type of financing available to us in the future. In addition, the terms of the Loan Agreement contain certain restrictions on incurring additional indebtedness. If we are unable to raise capital when needed or on attractive terms, we would be forced to delay, reduce or eliminate our research and development programs or future commercialization efforts, reduce headcount, file for bankruptcy, reorganize, merge with another entity or cease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adversely affect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before="120" w:after="160"/>
        <w:jc w:val="both"/>
        <w:rPr>
          <w:rFonts w:ascii="Times New Roman" w:hAnsi="Times New Roman"/>
          <w:b/>
          <w:i/>
          <w:color w:val="000000"/>
          <w:sz w:val="20"/>
        </w:rPr>
      </w:pPr>
      <w:r>
        <w:rPr>
          <w:rFonts w:ascii="Times New Roman" w:hAnsi="Times New Roman"/>
          <w:b/>
          <w:i/>
          <w:color w:val="000000"/>
          <w:sz w:val="20"/>
        </w:rPr>
        <w:t>The terms of the Loan Agreement place restrictions on our operating and financial flexibility. If we raise additional capital through debt financing, the terms of any new debt could further restrict our operating and financial flexibility.</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Loan Agreement includes customary affirmative and negative covenants, as well as standard events of default, including an event of default based on the occurrence of a material adverse event. The negative covenants include, among others, restrictions on us transferring collateral, incurring additional indebtedness, paying cash dividends or making other distributions, making investments, creating liens, and selling assets, in each case subject to certain exceptions. These restrictive covenants could limit our flexibility in operating our business and our ability to pursue business opportunities that we or our stockholders may consider beneficial. In addition, the Lender could declare a default upon the occurrence of an event that it interprets could have a material adverse effect, as defined in the Loan Agreement. Upon the occurrence and continuance of an event of default, the Lender may declare all outstanding obligations immediately due and payable and take such other actions as set forth in the Loan Agreement. Any declaration by the Lender of an event of default could significantly harm our business and prospects and could cause the price of our common stock to decline. We may not have enough available cash or be able to raise additional funds through equity or debt financing to repay these outstanding obligations at the time any event of default occurs. Further, if we raise any additional capital through debt financing, the terms of such additional debt could further restrict our operating and financial flexibility.</w:t>
      </w:r>
    </w:p>
    <w:p>
      <w:pPr>
        <w:pStyle w:val="TextBody"/>
        <w:bidi w:val="0"/>
        <w:jc w:val="both"/>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proprietary platform or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equity offerings, debt financings or other capital sources, including potentially grants, collaborations, licenses or other similar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further limiting or restricting our ability to take specific actions, such as limitations on our ability to incur debt, make capital expenditures or declare dividends. For example, our Loan Agreement includes negative covenants restricting us from, among other things, transferring collateral, incurring additional indebtedness, paying cash dividends or making other distributions, making investments, creating liens and selling assets, in each case subject to certain exceptions.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raise funds through collaborations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proprietary product candidate development process or future commercialization efforts or grant rights to develop and market product candidates that we would otherwise prefer to develop and market ourselves.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Attempting to secure additional financing may also divert our management from our day-to-day activities, which may impair or delay our ability to develop our proprietary platform. In addition, demands on our cash resources may change as a result of many factors currently unknown to us including, but not limited to, any unforeseen costs we may incur as a result of preclinical study or clinical trial delays, or disruptions in the manufacturing of our product candidates, due to the ongoing or future international conflicts, potential future bank failures, international tariffs or other causes, and we may need to seek additional funds sooner than planned. If we are unable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obtain funding on a timely basis or at all, we may be required to significantly curtail or stop one or more of our research or development programs, reduce headcount, file for bankruptcy, reorganize, merge with another entity or cease operations. </w:t>
      </w:r>
    </w:p>
    <w:p>
      <w:pPr>
        <w:pStyle w:val="TextBody"/>
        <w:bidi w:val="0"/>
        <w:spacing w:before="120" w:after="283"/>
        <w:jc w:val="both"/>
        <w:rPr>
          <w:rFonts w:ascii="Times New Roman" w:hAnsi="Times New Roman"/>
          <w:sz w:val="20"/>
        </w:rPr>
      </w:pPr>
      <w:r>
        <w:rPr>
          <w:rFonts w:ascii="Times New Roman" w:hAnsi="Times New Roman"/>
          <w:b/>
          <w:i/>
          <w:color w:val="000000"/>
          <w:sz w:val="20"/>
        </w:rPr>
        <w:t>Any acquisitions or strategic collaborations may increase our capital requirements, dilute our stockholders, cause us to incur debt or assume contingent liabilities or subject us to other risks.*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evaluate various acquisitions and strategic collaborations, including licensing or acquiring complementary products and technologies, intellectual property rights, technologies or businesses. Any acquisition or strategic partnership may entail numerous risks, including, but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assumption of indebtedness or contingent or unknown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assimilation of operations, intellectual property and products or product candidates of an acquired company, including difficulties associated with integrating new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diversion of our management’s attention from our existing product candidates and initiatives in pursuing such an acquisition or a strategic partnership;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retention of key employees, the loss of key personnel and uncertainties about our ability to maintain key business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and their existing products or product candidates and regulatory approvals, and the possibility of disagreements or disputes with such other party;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generate revenue from acquired products, product candidates, intellectual property rights, technologies, and/or businesses sufficient to meet our objectives in undertaking the acquisition or even to offset the associated acquisition and maintenance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28, 2025, we entered into the Loan Agreement with Avenue Venture Opportunities Fund (the “Lender”), for (i) an initial growth capital loan in the principal amount of $10,000,000 funded on March 3, 2025 (ii) up to $7,500,000 to be made available to us between September 1, 2025 and March 31, 2026, which was subject to, among other things, our achievement of certain milestones with respect to certain of its ongoing clinical trials and (iii) up to $15,000,000 to be made available to us between October 1, 2025 and March 31, 2026, which was subject to, among other things, (a) our achievement of additional milestones with respect to certain of our ongoing clinical trials and (b) the mutual written agreement of us and the Lender (upon its investment committee approval). In connection with the pause in enrollment in the KOURAGE trial, Tranche 2 and Tranche 3 are no longer available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the Discovery, Development and Regulatory Approval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Our proprietary CRAC channel inhibition science is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use and expand our science to build a pipeline of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seeking to identify and develop a broad pipeline of product candidates using our proprietary CRAC channel inhibitor science to address acute critical illness and chronic inflammatory and immunologic diseases where there are no effective therapies. Our lead product candidate, Auxora, completed a Phase 2b clinical trial and we have only completed two randomized, blinded placebo-controlled trials with Auxora to date. We are not aware of any FDA approved therapeutics utilizing similar technology. Further, the scientific evidence to support the feasibility of developing therapeutic treatments based on our proprietary CRAC channel inhibition science is both preliminary and limited. Additionally, there are no drugs currently approved for the treatment of AP and as a result the FDA has not established the endpoints that will be required for approval in this indication. As a result, we are exposed to a number of unforeseen risks and it is difficult to predict the types of challenges and risks that we may encounter during development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Given the novelty of our CRAC channel inhibition science, we intend to work closely with the FDA and comparable foreign regulatory authorities to perform the requisite scientific analyses and evaluation of our methods to obtain regulatory approval for our product candidates; however, due to a lack of relevant experience with the indications that we are pursuing, the regulatory pathway with the FDA and comparable regulatory authorities may be more complex and time-consuming. There can be no assurance as to the length of clinical development, the number of patients that the FDA may require to be enrolled in clinical trials to establish the safety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efficacy of our product candidates, or that the data generated in these clinical trials will be acceptable to the FDA to support marketing approvals. We cannot be certain that our approach will lead to the development of approvable or marketable products, alone or in combination with other therapies. If we are unable to develop, or obtain regulatory approval for, or, if approved, successfully commercialize our product candidates, we may not be able to generate sufficient revenue to continue our business.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business is highly dependent on the success of our product candidates, in particular Auxora, and we may fail to develop Auxora successfully or be unable to obtain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success is dependent on our ability to complete clinical trials in a timely and successful manner and obtain marketing approval for and successfully commercialize Auxora, our lead product candidate. We are investing the majority of our efforts and financial resources in the research and development of Auxora for multiple indications. Auxora is currently in two studies: an ongoing Phase 1/2 clinical trial, for which the first cohort was completed, in pediatric patients with AIPT as a side effect of pediatric acute lymphoblastic leukemia treatment with asparaginase; and a Phase 2 trial in AKI that we initiated in July 2024. In January 2026, dosing and enrollment in KOURAGE were paused following a recommendation from the Independent Data Monitoring Committee due to a safety concern relating to a mortality imbalance that warranted reevaluation of the study design. Study follow-up and data collection activities are ongoing. Auxora was also studied in a completed Phase 2b clinical trial in AP and accompanying SIRS and a completed Phase 2 trial in COVID-19 pneumonia patients with ARDS which may inform the design of clinical development in AHRF and/or ARDS due to a broad range of etiologies. We also have additional preclinical product candidates that will need to progress through IND application enabling studies prior to clinical development. None of our product candidates have advanced into a late-stage or pivotal trials for the indications for which we are pursuing development. Our ability to generate product revenues, which we do not expect will occur for many years, if ever, will depend heavily on the successful development and eventual commercialization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certain of our employees have prior experience with clinical trials, regulatory approvals and manufacturing of pharmaceutical products, we have not previously completed any late-stage or pivotal clinical trials or submitted a new drug application (“NDA”) to the FDA or regulatory approval filings to comparable foreign authorities for any product candidate, and Auxora may not be successful in clinical trials and may not receive any regulatory approval. The FDA and other comparable global regulatory authorities can delay, limit or deny approval of a product candidate for many reasons. Any delay in obtaining, or inability to obtain, applicable regulatory approval will delay or harm our ability to successfully commercialize Auxora and harm our business, financial condition, results of operations and prospects.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if our clinical trials of Auxora or our other product candidates encounter safety, efficacy or manufacturing problems, development delays, regulatory issues or other problems, our development plans for Auxora and our other product candidates in our pipeline could be significantly impaired, which could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our business, including our ability to finance our company and generate any revenue in the future, will primarily depend on the successful development, regulatory approval and commercialization of our product candidates, which may never occur. We have not yet succeeded and may not succeed in demonstrating efficacy and safety for any product candidate in late-stage clinical trials for regulatory approval or in obtaining marketing approval thereafter.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Clinical development is a lengthy, expensive and uncertain process. The results of preclinical studies and early clinical trials are not always predictive of future results. Any product candidate that we advance into clinical trials may not achieve favorable results in later clinical trials, if any, or receive marketing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research and development of drugs is extremely risky. Only a small percentage of programs that enter the clinical development process ever receive marketing approval. Before obtaining marketing approval from regulatory authorities for the sale of our product candidates, we must conduct extensive clinical trials to demonstrate the safety and efficacy of the product candidate in humans. Clinical testing is expensive, can take many years to complete and its outcome is uncertain.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preclinical studies and early clinical trials of product candidates, even those with the same or similar mechanisms of action, may not be predictive of the results of later-stage clinical trials. Product candidates in later stages of clinical trials may fail to show the desired safety and efficacy characteristics despite having progressed through preclinical studies and initial clinical trials. While we have previously received results, some preliminary, from two randomized, blinded placebo-controlled trials, one small blinded randomized SOC controlled trial, one small randomized open-label placebo-controlled trial, one small open-label single site trial, and one small open label investigator sponsored clinical trial, we do not know how Auxora will perform in the ongoing Phase 2 clinical trials or in future clinical trials with larger sample sizes. Results of clinical trials with smaller sample sizes, such as our completed SOC-controlled Phase 2a clinical trial of Auxora in 21 patients with AP and accompanying SIRS plus hypoxemia, can be disproportionately influenced by various biases associated with the conduct of small clinical trials, such as the potential failure of the smaller sample size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accurately depict the features of the broader patient population, which limits the ability to generalize the results across a broader community, thus making the clinical trial results less reliable than clinical trials with a larger number of patients. In general, clinical trial failure may result from a multitude of factors including flaws in trial design, dose selection, patient enrollment criteria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not completed any clinical trials that the FDA has confirmed or accepted as late-stage or pivotal clinical trials for any of our product candidates. We cannot guarantee that any clinical trials will be initiated or conducted as planned or completed on schedule, if at all. We also cannot be sure that submission of an IND or similar application will result in the FDA or other regulatory authority, as applicable, allowing clinical trials to begin in a timely manner, if at all.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even if these trials begin, issues may arise that could cause regulatory authorities to suspend or terminate such clinical trials. A failure of one or more clinical trials can occur at any stage of testing, and our future clinical trials may not be successful. Any of these events could cause delays and interruptions in our clinical trials, which could adversely affect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experience delays in site initiation and patient enrollment, failures to comply with study protocols, delays in the manufacture of our product candidates for clinical testing and other difficulties in starting or completing our clinical trials. Other events that may prevent successful or timely completion of clinical development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generate sufficient preclinical, toxicology, or other in vivo or in vitro data to support the initiation or continuation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 consensus with regulatory agencies, the FDA or foreign regulatory authorities, on trial design or implementation;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on acceptable terms with prospective clinical research organizations (“CROs”), and clinical trial sites, the terms of which can be subject to extensive negotiation and may vary significantly among different CROs and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identifying, recruiting and training suitable clinical investigators;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obtaining required institutional review board (“IRB”) or independent ethics committee (“IEC”) approval at each clinical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recruiting suitable patients to participate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clinical hold by regulatory agencies for a number of reasons, including after review of an IND or amendment or equivalent foreign application or amendment, as a result of a new safety finding that presents unreasonable risk to clinical trial participants, or after a negative finding from an inspection of our clinical trial operations or study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by our CROs, other third parties or us to adhere to the trial protocol or good clinical practice (“GCP”);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third-party contractors or clinical investigators becoming debarred or suspended or otherwise penalized by the FDA or other comparable foreign regulatory authorities for violations of applicable regulatory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the testing, validation, manufacturing and delivery of our product candidates to the treatment sites, including due to supply or manufacturing related delays, being ordered by the FDA or comparable foreign regulatory authorities to temporarily or permanently shut down due to violations of current good manufacturing practices (“cGMP”), regulations or other applicable requirements, or infections or cross-contaminations of our product candidates in the manufacturing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having subjects’ complete participation in a study or return for post-treatment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the clinical trial protocols;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 sites or subjects deviating from the trial protocol or dropping out of a study;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SOC on which a clinical development plan was based, which may require new or additional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selection of clinical endpoints that require prolonged periods of observation or analyses of resulting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of our product candidates being greater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of our product candidates producing negative or inconclusive results, which may result in our deciding, or regulators requiring us, to conduct additional clinical trials or abandon development of such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transfer of manufacturing processes to larger-scale facilities operated by a contract manufacturing organization, and delays or failure by our such manufacturers or us to make any necessary changes to such manufacturing process;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adverse events (“AEs”) associated with the product candidate that are viewed to outweigh its potential benefits, or occurrence of an AE in a trial of the same class of agents as our product candidate conducted by other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conducted a significant portion of our CARPO trial in India and, to the extent that we conduct clinical trials in foreign countries, the failure of enrolled subjects in foreign countries to adhere to clinical protocols as a result of differences in SOC, provision of healthcare services or cultural customs;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in different geographies, including foreign countries, may show differences in clinical outcomes than expected due to differences in underlying disease etiologies or genetic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conducting clinical trials in a foreign country may also present additional administrative burdens or delays associated with foreign regulatory schemes including different requirements for clinical trial protocols;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conducting clinical trials in a foreign country may introduce political and economic risks relevant to such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receiving untimely or unfavorable feedback from applicable regulatory authorities regarding the trial or requests from regulatory authorities to modify the design of a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suspensions or terminations by us, the IRBs (or the IECs) of the institutions at which such trials are being conducted, by the data safety monitoring board (“DSMB”), for such trial or by regulatory authorities due to a number of factors, including those described above;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lack of adequate funding;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regulatory requirements and guidance that require amending or submitting new clinical protocols;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at the FDA and other governmental agencies caused by funding or staffing shortages.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disruptions caused by international conflicts may increase the likelihood that we encounter such difficulties or delays in initiating, enrolling, conducting or completing our planned and ongoing clinical trials. Any inability to successfully complete preclinical and clinical development could result in additional costs to us or impair our ability to raise capital, generate revenues from product candidate sales and enter into or maintain collaboration arrangements. For example, if enrollment in a clinical trial is slowed, certain of our expenses related to the trial would not decrease and therefore the overall costs to complete the trial would increase. In addition, if we make manufacturing changes to our product candidates, we may need to conduct additional studies to bridge our modified product candidates to earlier versions. Clinical trial delays could also shorten any periods during which we may have the exclusive right to commercialize our product candidates or allow our competitors to bring product candidates to market before we do, which could impair our ability to successfully commercialize our product candidates and may harm our business and results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One of our product candidates is, and potential future product candidates may be, developed for the treatment of a pediatric population, for which safety concerns may be particularly scrutinized by regulatory agencies. Trials involving pediatric populations can be difficult to conduct, can be quite costly and, like other clinical trials, may not yield the anticipated results. In addition, pediatric trials are more dependent on a smaller number of specialized clinical trial sites, which in turn can limit site availability and make the trials more expensive to conduct. In addition, as interest in pediatric indications grows as a result of the Research to Accelerate Cures and Equity Act and other market forces, trial recruitment may become even more difficult due to competition for eligible patients. Moreover, it may be challenging to ensure that pediatric or adolescent patients adhere to clinical trial protocols.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an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conducted a significant portion of our CARPO trial in India, and regulatory authorities may not accept data from such trial or any future clinical trials we conduct outside the United States or the applicable foreign jurisdiction.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conducted a significant portion of our CARPO trial in India. The acceptance of trial data from clinical trials conducted outside the United States or another jurisdiction by the FDA or comparable non-U.S. regulatory authorities may be subject to certain conditions or may not be accepted at all. In cases where data from non-U.S. clinical trials are intended to serve as the basis for marketing approval in the United States, the FDA will generally not approve the application on the basis of non-U.S. data alone unless (i) the data are applicable to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Many non-U.S. regulatory authorities have similar approval requirements. In addition,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such non-U.S. trials would be subject to the applicable local laws of the non-U.S. jurisdictions where the trials are conducted. There can be no assurance that the FDA or any comparable non-U.S. regulatory authority will accept data from trials conducted outside of the United States or the applicable jurisdiction. If the FDA or any comparable non-U.S. regulatory authority does not accept such data or believes that additional data is necessary to supplement such data, it would result in the need for additional trials, which would be costly and time-consuming and delay aspects of our business plan, and which may result in product candidates that we may develop not receiving approval for commercialization in the applicable jurisdiction.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Conducting clinical trials outside the United States also exposes us to additional risks, including risks associated with: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foreign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foreign manufacturing, customs, shipment and storage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failure of enrolled subjects in foreign countries to adhere to clinical protocol as a result of differences in SOC;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cultural differences in medical practice and clinical research;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diminished protection of intellectual property in some countries.</w:t>
      </w:r>
    </w:p>
    <w:p>
      <w:pPr>
        <w:pStyle w:val="TextBody"/>
        <w:bidi w:val="0"/>
        <w:spacing w:before="120" w:after="283"/>
        <w:jc w:val="both"/>
        <w:rPr>
          <w:rFonts w:ascii="Times New Roman" w:hAnsi="Times New Roman"/>
          <w:sz w:val="20"/>
        </w:rPr>
      </w:pPr>
      <w:r>
        <w:rPr>
          <w:rFonts w:ascii="Times New Roman" w:hAnsi="Times New Roman"/>
          <w:b/>
          <w:i/>
          <w:color w:val="000000"/>
          <w:sz w:val="20"/>
        </w:rPr>
        <w:t>We depend on enrollment of patients in our clinical trials for our product candidates. If we experience delays or difficulties enrolling patients in our clinical trials, our research and development efforts and business, financial condition, results of operations and prospects could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 and timely completion of clinical trials will require that we enroll a sufficient number of patients to participate in each study. These trials may be subject to delays for a variety of reasons, including as a result of patient enrollment taking longer than anticipated, subject withdrawal from the trial or AEs. These types of developments could cause us to delay the trial or halt further development. 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may be limited patient pools from which to draw for clinical studies. In addition to the rarity of some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clinical trial.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Participant enrollment in clinical trials depends 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eligibility criteria for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proximity of patients to clinical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 of the clinical protocol;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obtain and maintain research subject consents;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recruit clinical trial investigators with the appropriate competencies and experience;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competing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perceptions of risk in traveling to clinical sites (for patients in non-hospitalized clinical trial settings);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new drugs approved for the indication the clinical trial is investigating;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of the product candidate being studied in relation to other available therapies.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factors may make it difficult for us to enroll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Preliminary, interim and topline data from our clinical trials may change as more participant data becomes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publicly disclose preliminary, interim or topline data from our preclinical studies and clinical trials, which is based on a preliminary analysis of then-available data, and the results and related findings and conclusions are subject to change as participant enrollment and treatment continues and more data become available. Our data to date is based on a small number of subjects, and as a result, data from additional subjects can have a significant impact on the overall data viewed as a whole. Adverse differences between previous preliminary or interim data and future interim or final data could significantly harm our business prospects. We may also announce topline data following the completion of a preclinical study or clinical trial, which may be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to be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prospects. </w:t>
      </w:r>
    </w:p>
    <w:p>
      <w:pPr>
        <w:pStyle w:val="TextBody"/>
        <w:bidi w:val="0"/>
        <w:spacing w:before="120" w:after="283"/>
        <w:jc w:val="both"/>
        <w:rPr>
          <w:rFonts w:ascii="Times New Roman" w:hAnsi="Times New Roman"/>
          <w:sz w:val="20"/>
        </w:rPr>
      </w:pPr>
      <w:r>
        <w:rPr>
          <w:rFonts w:ascii="Times New Roman" w:hAnsi="Times New Roman"/>
          <w:b/>
          <w:i/>
          <w:color w:val="000000"/>
          <w:sz w:val="20"/>
        </w:rPr>
        <w:t>SAEs, undesirable side effects or other unexpected properties of our product candidates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we continue developing Auxora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clinical trials by their nature utilize a sample of the potential patient population. With a limited number of subjects and limited duration of exposure, rare and severe side effects of our product candidates may only be uncovered with a significantly larger number of patients exposed to our therapies. Because of our planned dose escalation design for our clinical trials, undesirable side effects could also result in an expansion in the size of our clinical trials, increasing the expected costs and timeline of our clinical trials. Additionally, results of our clinical trials could reveal a high and unacceptable severity and prevalence of side effects or unexpected characteristics, which may stem from our product candidates specifically or may be due to an illness from which the clinical trial subject is suffering.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unacceptable side effects arise in the development of our product candidates such that there is no longer a positive benefit risk,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For example, following a recommendation from the Independent Data Monitoring Committee (“IDMC”), we paused enrollment in our Phase 2 KOURAGE trial of Auxora due to a safety concern relating to a mortality imbalance that warranted reevaluation of the study design. In addition,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we believe our product candidates initially show promise in early clinical trials, side effects of product candidates may only be detectable after they are tested in larger, longer and more extensive clinical trials or, in some cases, after they are made available to patients on a commercial scale after approval. Sometimes, it can be difficult to determine if the serious adverse or unexpected side effects were caused by the product candidate or another factor. If serious adverse or unexpected side effects are identified during development or after approval (including pursuant to any toxicity studies, including reproductive toxicity studies) and are determined to be attributed to our product candidates, we may be required to develop a Risk Evaluation and Mitigation Strategy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processes that are highly controlled, restrictive and more costly than what is typical for the industry. Product-related side effects could also result in potential product liability claims. Any of these occurrences may harm our business, financial condition, results of operations and prospects.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if one or more of our product candidates receives marketing approval, and we or others later identify undesirable side effects caused by such product candidates, a number of potentially significant negative consequences could result,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suspend, withdraw or limit approvals of such product candidate, or seek an injunction against its manufacture or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require additional warnings on the label, including “boxed” warnings, or issue safety alerts, Dear Healthcare Provider letters, press releases or other communications containing warnings or other safety information about the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change the way a product candidate is administered or conduct additional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product candidate may become less competitive;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decide to remove the product candidate from the marketplace;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fines, injunctions or the imposition of civil or criminal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particular product candidate, if approved, and could seriously harm our business.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seek special designations by the regulatory authorities to expedite regulatory approvals, but may not be successful in receiving such designations, and even if received, they may not benefit the development and regulatory approval process.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seek various designations by the regulatory authorities for any product candidates that we develop, such as Fast Track designation or Breakthrough Therapy designation.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 product candidate is intended for the treatment of a serious condition and nonclinical or clinical data demonstrate the potential to address unmet medical need for this condition, a product sponsor may apply for Fast Track designation from the FDA. The sponsor of a product candidate with Fast Track designation has opportunities for more frequent interactions with the applicable FDA review team during product development and, once an NDA is submitted, the candidate may be eligible for priority review if the relevant criteria are met. A product candidate with Fast Track designation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have received Fast Track designation for Auxora for the treatment of AP, and we may receive Fast Track designation for other product candidates in the future; however, we may not experience a faster development process, review or approval compared to conventional FDA approval timelines, and the FDA may still decline to approve Auxora or our other designated product candidates. The FDA may rescind the Fast Track designation if it believes that the designation is no longer supported by data from our clinical development program or for any other reason.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Breakthrough Therapy is defined by the FDA as a drug or biologic that is intended, alone or in combination with one or more other drugs or biologics,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 designation also includes all of the Fast Track designation benefits, including eligibility for rolling review of an NDA submission.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Seeking and obtaining these designations is dependent upon results of our clinical program, and whether and when we may have the data from our clinical programs to support an application to obtain any such designation is uncertain. Even if we do receive the designations we may apply for, we may not experience a faster development process, review or approval compared to conventional FDA or similar foreign regulatory authorities’ procedures, as applicable. The FDA or similar foreign regulatory authorities, as applicable, may rescind any granted designations if it believes that the designation is no longer supported by data from our clinical development program.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seek orphan drug designation for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Similarly, in the European Union, the European Commission grants orphan drug designation after receiving the opinion of the European Medicines Agency (“EMA”) Committee for Orphan Medicinal Products on an orphan drug designation application. Orphan drug designation is intended to promote the development of drugs that are (1) intended for the diagnosis, prevention or treatment of life-threatening or chronically debilitating conditions; (2) either (a) affecting not more than five in 10,000 persons in Europe, or (b) when, without incentives, it is unlikely that sales of the drug in Europe would be sufficient to justify the necessary investment in developing the drug; and (3) for which no satisfactory method of diagnosis, prevention, or treatment has been authorized (or if such a method exists, the product will be of significant benefit to those affected by the condition). In Europe, orphan drug designation entitles a party to a number of incentives, such as protocol assistance and scientific advice specifically for designated orphan medicines, and potential fee reductions depending on the status of the sponsor. We have received orphan drug designation for Auxora for the treatment of AP in the European Union, and we may receive orphan drug designation for other product candidates in the future; however, we may not experience a faster development process, review or approval compared to conventional approval timelines, and the European Commission and EMA may still decline to approve Auxora or our other designated product candidates. The European Commission and EMA may rescind the orphan drug designation if it believes that the designation is no longer supported by data from our clinical development program or for any other reason.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or similar drug and indication for that time period, except in limited circumstances. The applicable period is seven years in the United States and ten years in Europe. The European exclusivity period can be reduced to six years if, at the end of the fifth year, it is established that the drug no longer meets the criteria for orphan drug designation or if the drug is sufficiently profitable such that market exclusivity is no longer justified.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we obtain orphan drug exclusivity for any of our product candidates that obtain approval, that exclusivity may not effectively protect those product candidates from competition because different therapies can be approved for the same condition. Even after an orphan drug is approved, the FDA or comparable foreign authorities can subsequently approve another drug for the same condition if the relevant authority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we may not enjoy the benefits of those designations.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attempt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or other regulatory authorities, if our confirmatory trials do not verify clinical benefit, or if we do not comply with rigorous post-marketing requirements, the FDA or foreign regulatory authorities may seek to withdraw accelerated approval.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such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Prior to seeking accelerated approval for any of our product candidates, we intend to seek feedback from the FDA and will otherwise evaluate our ability to seek and receive accelerated approval. There can be no assurance that after our evaluation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candidates would result in a longer time period to commercialization of such product candidates, if any, could increase the cost of development of such candidates and could harm our competitive position in the marketplace. </w:t>
      </w:r>
    </w:p>
    <w:p>
      <w:pPr>
        <w:pStyle w:val="TextBody"/>
        <w:bidi w:val="0"/>
        <w:spacing w:before="120" w:after="283"/>
        <w:jc w:val="both"/>
        <w:rPr>
          <w:rFonts w:ascii="Times New Roman" w:hAnsi="Times New Roman"/>
          <w:sz w:val="20"/>
        </w:rPr>
      </w:pPr>
      <w:r>
        <w:rPr>
          <w:rFonts w:ascii="Times New Roman" w:hAnsi="Times New Roman"/>
          <w:b/>
          <w:i/>
          <w:color w:val="000000"/>
          <w:sz w:val="20"/>
        </w:rPr>
        <w:t>Our product candidates must meet extensive regulatory requirements before they can be commercialized and any regulatory approval may contain limitations or conditions that require substantial additional development expenses or limit our ability to successfully commercialize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Despite the time and expense invested in clinical development of product candidates, regulatory approval is never guaranteed.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not submitted an NDA or other marketing authorization application to the FDA or similar drug approval submissions to comparable foreign regulatory authorities for any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Prior to obtaining approval to commercialize a product candidate in the United States or abroad, we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Even if we believe the preclinical or clinical data for our product candidates are promising, such data may not be sufficient to support approval by the FDA and comparable foreign regulatory authorities. In particular, because we are seeking to identify and develop product candidates using new technologies, there is heightened risk that the FDA or other regulatory authorities may impose additional requirements prior to granting marketing approval, including enhanced safety studies or monitoring. Furthermore, as more product candidates within a particular class of products proceed through clinical development to regulatory review and approval, the amount and type of clinical data that may be required by regulatory authorities may increase or change.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can delay, limit or deny approval of a product candidate for many reasons,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disagree with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or ambiguous results from our clinical trials or results may not meet the level of statistical significance required by the FDA or comparable foreign regulatory agencies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and unexpected product candidate-related side effects may be experienced by participants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and unexpected results from preclinical toxicity studies that will be completed in conjunction with late stage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not accept clinical data from trials which are conducted at clinical facilities or in countries where the SOC is potentially different from that of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disagree with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not agree that the data collected from clinical trials of our product candidates are acceptable or sufficient to support the submission of an application for regulatory approval or other submissions or to obtain regulatory approval in the United States or elsewhere and such authorities may impose requirements for additional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disagree regarding the formulation, labeling and/or the specifications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may be granted only for indications that are significantly more limited than what we apply for and/or with other significant restrictions on distribution and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find deficiencies in the manufacturing processes or facilities of our or our third-party suppliers or manufacturers with which we or any of our potential future collaborators contract for clinical and commercial supplies;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such authorities may significantly change in a manner rendering our or any of our potential future collaborators’ clinical data insufficient for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respect to foreign markets, approval procedures vary among countries and, in addition to the foregoing risks, may involve additional product candidate testing, administrative review periods and agreements with pricing authorities. In addition, events raising questions about the safety of certain marketed pharmaceuticals may result in increased cautiousness by the FDA and comparable foreign regulatory authorities in reviewing new products based on safety, efficacy or other regulatory considerations and may result in significant delays in obtaining regulatory approvals.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we eventually complete clinical trials and receive approval to commercialize our product candidates, the FDA or comparable foreign regulatory authority may grant approval contingent on the performance of costly additional clinical trials, including Phase 4 clinical trials, and/or the implementation of a REMS. The FDA or the comparable foreign regulatory authority also may approve a product candidate for a more limited indication or patient population than we originally requested or may not approve the labeling that we believe is necessary or desirable for the successful commercialization of a product candidate. Manufacturers of our product candidates and manufacturers’ facilities are also required to comply with cGMP regulations and other similar regulatory requirements, which include requirements related to quality control and quality assurance, as well as the corresponding maintenance of records and documentation. Further, regulatory authorities must approve these manufacturing facilities before they can be used to manufacture our product candidates, if approved, and these facilities are subject to continual review and periodic inspections by the FDA and other comparable foreign regulatory authorities for compliance with cGMP regulations and other similar regulatory requirements.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delay in obtaining, or inability to obtain, applicable regulatory approval would delay or prevent commercialization of that product candidate and could adversely impact our business, financial condition, results of operations and prospects. </w:t>
      </w:r>
    </w:p>
    <w:p>
      <w:pPr>
        <w:pStyle w:val="TextBody"/>
        <w:bidi w:val="0"/>
        <w:spacing w:before="120" w:after="283"/>
        <w:jc w:val="both"/>
        <w:rPr>
          <w:rFonts w:ascii="Times New Roman" w:hAnsi="Times New Roman"/>
          <w:sz w:val="20"/>
        </w:rPr>
      </w:pPr>
      <w:r>
        <w:rPr>
          <w:rFonts w:ascii="Times New Roman" w:hAnsi="Times New Roman"/>
          <w:b/>
          <w:i/>
          <w:color w:val="000000"/>
          <w:sz w:val="20"/>
        </w:rPr>
        <w:t>We will need to obtain FDA approval of any proposed product names, including Auxora, and any failure or delay associated with such approval may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name we intend to use for our current or future product candidates will require approval from the FDA regardless of whether we have secured a formal trademark registration from the United States Patent and Trademark Office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any goodwill or brand recognition developed for previously used names and marks as well as the benefit of our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 </w:t>
      </w:r>
    </w:p>
    <w:p>
      <w:pPr>
        <w:pStyle w:val="TextBody"/>
        <w:bidi w:val="0"/>
        <w:spacing w:before="120" w:after="283"/>
        <w:jc w:val="both"/>
        <w:rPr>
          <w:rFonts w:ascii="Times New Roman" w:hAnsi="Times New Roman"/>
          <w:sz w:val="20"/>
        </w:rPr>
      </w:pPr>
      <w:r>
        <w:rPr>
          <w:rFonts w:ascii="Times New Roman" w:hAnsi="Times New Roman"/>
          <w:b/>
          <w:i/>
          <w:color w:val="000000"/>
          <w:sz w:val="20"/>
        </w:rPr>
        <w:t>Even if we receive regulatory approval for any of our product candidates,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FDA, EMA or any other comparable foreign regulatory authority approves any of our product candidates, the manufacturing processes, labeling, packaging, distribution, adverse event reporting, storage, advertising, promotion and recordkeeping for the drug product will be subject to extensive and ongoing regulatory requirements. These requirements include submissions of safety and other post-marketing information and reports, registration requirements and continued compliance with cGMPs and GCP requirements, for any clinical trials that we conduct post-approval.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any regulatory approvals that we receive for our present or future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REMS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Later discovery of previously unknown problems with a product candidate, including AEs of unanticipated severity or frequency, or with our third-party manufacturers or manufacturing processes, or failure to comply with regulatory requirements, may result in, among other things: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our ability to conduct clinical trials, including full or partial clinical holds on ongoing or planned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marketing or manufacturing of the product candidate, withdrawal of the product candidate from the market, or voluntary or mandatory product candidate recalls;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untitled or warning letters or holds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by the FDA, the EMA or any other comparable foreign regulatory authority to approve pending applications or supplements to approved applications filed by us, or suspension or revocation of product candidate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candidate seizure or detention, or refusal to permit the import or export of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The occurrence of any event or penalty described above may inhibit our or our collaborators’ ability to commercialize our product candidates, and harm our business, financial condition, results of operations and prospects.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FDA and other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other marketing application and previous responses to inspectional observations made by regulatory authorities. Accordingly, we and others with whom we work must continue to expend time, money and effort in all areas of regulatory compliance, including manufacturing, production and quality control.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120" w:after="283"/>
        <w:jc w:val="both"/>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could adversely affect our business, financial condition, results of operations and prospects.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statutory, regulatory and policy changes, or global health concerns could hinder their ability to hire, retain or deploy key leadership and other personnel, or otherwise prevent new or modified products from being developed, or approved or commercialized in a timely manner or at all,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statutory, regulatory, and policy changes, including executive orders,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such as the EMA, following its relocation to Amsterdam and corresponding staff changes, that fund research and development activities is subject to the political process, which is inherently fluid and unpredictable. Disruptions at the FDA and other agencies may also slow the time necessary for product candidates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including the recent 43-day government shutdown in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another prolonged government shutdown or slowdown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not identify or discover other product candidates and may fail to capitalize on our proprietary platform or product candidates that may present a greater commercial opportunity or for which there is a greater likelihood of success.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depends upon our ability to identify, develop and commercialize product candidates. A key element of our strategy is to discover and develop additional product candidates based upon our CRAC channel inhibitor science.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targets for different indications may require changes to our manufacturing processes,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research methodology or technology platform used may not be successful in identifying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develop alternatives that render our product candidates obsolete or less attractive;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choose to cease development if we determine that clinical results do not show promise;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candidates we develop may nevertheless be covered by third parties’ patents or other exclusive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be shown to have harmful side effects or other characteristics that indicate it is unlikely to be effective or otherwise does not meet applicable regulatory criteria;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accepted as safe and effective by patients, the medical community or third-party payors.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we have limited resources, we must choose to pursue and fund the development of specific types of treatment, or treatment for a specific indication,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product candidate or fail to develop a potentially successful product candidate. </w:t>
      </w:r>
    </w:p>
    <w:p>
      <w:pPr>
        <w:pStyle w:val="TextBody"/>
        <w:bidi w:val="0"/>
        <w:spacing w:before="120" w:after="283"/>
        <w:jc w:val="both"/>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product candidate that we may develop.</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our product candidate programs in clinical trials and may face an even greater risk if we commercialize any product candidate that we may develop. If we cannot successfully defend ourselves against claims that any such product candidate programs caused injuries, we could incur substantial liabilities. Regardless of merit or eventual outcome, liability claims may result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any product candidate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time and 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insurance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any product candidate that we may develop;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such outcomes could adversely affect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Manufacturing, Commercialization and Reliance on Third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We rely on third parties to conduct and perform most of our research, preclinical studies and clinical trials. If these third parties do not satisfactorily carry out their contractual duties, fail to comply with applicable regulatory requirements, fail to meet projected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clinical trial enrollment schedules or fail to meet expected deadlines, our development programs may be delayed or subject to increased costs, each of which may have an adverse effect on our business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have the ability to conduct most aspects of our preclinical studies or clinical trials in-house. As a result, we are and expect to remain dependent on third parties to conduct or otherwise support our ongoing clinical trials and any future clinical trials of our product candidates. Specifically, CROs, clinical investigators, and consultants play a significant role in the conduct of these trials and the subsequent collection and analysis of data. However, we will not be able to control all aspects of their activities. Nevertheless, we are responsible for ensuring that each of our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the Competent Authorities of the member states of the EEA, and comparable foreign regulatory authorities for all of our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or comparable foreign regulatory authorities may require us to perform additional clinical trials before approving our marketing applications. In addition, our clinical trials must be conducted with investigational product produced under cGMP regulations (and similar foreign requirements). Our failure to comply with these regulations may require us to stop and/or repeat clinical trials, which would delay the marketing approval process.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CROs, clinical trial investigators or other third parties on which we rely may not devote adequate time and resources to our development activities or perform as contractually required. If any of these third parties fail to meet expected deadlines, adhere to our clinical protocols or meet regulatory requirements, otherwise performs in a substandard manner, or terminates its engagement with us, the timelines for our development programs may be extended or delayed or our development activities may be suspended or terminated. If any of our clinical trial sites terminates for any reason, we may experience the loss of follow-up information on subjects enrolled in such clinical trials unless we are able to transfer those subjects to another qualified clinical trial site, which may be difficult or impossible. In addition, clinical trial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any comparable foreign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marketing application we submit by the FDA or any comparable foreign regulatory authority. Any such delay or rejection could prevent us from commercializing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of our relationships with these third parties terminate, we may not be able to enter into arrangements with alternative third parties on commercially reasonable terms, or at all. Further, under certain circumstances, these third parties may terminate their agreements with us upon as little as 30 days prior written notice. Entering into arrangements with alternative CROs, clinical trial investigators or other third parties involves additional cost and requires management focus and time, in addition to requiring a transition period when a new CRO, clinical trial investigator or other third party begins work.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with respect to investigator-sponsored trials that are being conducted with Auxora (the CRSPA trial with St. Jude Children’s Research Hospital) and may be conducted in the future, we do not and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Additionally, the FDA may disagree with the sufficiency of our right of reference to the preclinical or clinical data generated by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investigator-sponsored trials, or our interpretation of preclinical, manufacturing or clinical data from these investigator-sponsored trials. If so, the FDA may require us to obtain and submit additional preclinical or clinical data.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contract with third parties for the manufacturing and supply of certain goods and services for our product candidates for use in preclinical studies and clinical trials, which supply may become limited or interrupted or may not be of satisfactory quality and quantity.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have any manufacturing facilities. We rely on third parties for the manufacture of our product candidates for preclinical testing and all of our product candidates for clinical testing and we will continue to rely on such third parties for commercial manufacture if any of our product candidates are approved. We currently have limited manufacturing arrangements for preclinical and clinical trial materials for each of our product candidates, including Auxora, and one component of the latter is provided by a single source supplier in China, and will continue to be for the intermediate future. In addition, our single source supplier in China and any other foreign suppliers we may utilize in the future may be subject to U.S. legislation, sanctions, trade restrictions and other foreign regulatory requirements, which may limit, delay, prevent or impair our ability to obtain preclinical and clinical trial materials for our product candidates. For example, the United States has recently passed legislation, namely the BIOSECURE Act (the “BIOSECURE Act”), to prohibit U.S. federal executive agencies from procuring or obtaining any biotechnology equipment or service produced or provided by a “biotechnology company of concern” or entering into or renewing a contract, loan, or grant with an entity that uses such biotechnology equipment or equipment. Specifically,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“biotechnology company of concern” (“BCC”); entering into, extending, or renewing government contracts with an entity that directly or indirectly uses biotechnology equipment or services from a BCC in performance of that federal contract; and/or issuing grants or loans to purchase, obtain, or use biotechnology equipment or services produced by a BCC. The BIOSECURE Act also prohibits U.S. government loan and grant recipients from using federal loan or grant money to enter into contracts with entities that use equipment from BCCs in the performance of any federal prime contract or subcontract. Companies designated as a BCC include those that are identified on the U.S. Department of Defense’s annual List of Chinese Military Companies, also known as the 1260H List, and the U.S. government also has the ability to designate entities as BCCs through a separate designation process. There is a “safe harbor” provision providing that the restrictions do not apply to equipment or services that were formerly but are no longer provided by a BCC, as well as a “grandfathering” provision providing that the prohibitions shall not apply for a five-year period to biotechnology equipment or services produced or provided under a contract or agreement entered into before the applicable effective date. Given the BIOSECURE Act, we may be restricted in our ability to work with certain Chinese biotechnology companies to the extent we would contract with, or otherwise receive funding from, the U.S. government. This reliance increases the risk that we will not have sufficient quantities of our product candidates or products, if approved, or such quantities at an acceptable cost or quality, which could delay, prevent or impair our development or commercialization efforts.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Furthermore, all entities involved in the preparation of product candidates for clinical trials or commercial sale, including our existing contract manufacturers for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on a timely basis and must adhere to the FDA’s GLP regulations and cGMP regulations enforced by the FDA through its facilities inspection program. Comparable foreign regulatory authorities may require compliance with similar requirements. Our facilities and quality systems, and those of our third-party contract manufacturers, must pass a pre-approval inspection for compliance with the applicable regulations as a condition of marketing approval of our product candidates. We do not control the manufacturing activities of, and are completely dependent on, our contract manufacturers for compliance with cGMP regulations, although the FDA will hold us responsible for any such non-compliance with respect to our product candidates and any future approved products.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event that any of our contracted third parties fails to comply with such requirements or to perform their obligations to us in relation to quality, timing or otherwise, or if our supply of components or other materials becomes limited or interrupted for other reasons, including due to the ongoing or future international conflicts or other geopolitical or macroeconomic conditions, including international tariffs,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a third-party contractor could require significant effort and expertise because there may be a limited number of qualified replacements. In some cases, the technical skills or technology required to manufacture a certain aspect of our product candidates may be unique or proprietary to the third-party performing such process and we may have difficulty transferring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we attempt to establish new third-party arrangements for these product candidates or methods. If we are required to or voluntarily change a third-party contractor for any reason, we will be required to verify that the new third party maintains facilities, processes and procedures that comply with quality standards and with all applicable regulations and guidelines. The delays associated with the verification of a new manufacturer could negatively affect our ability to develop product candidates in a timely manner or within budget.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third-party’s failure to execute on our manufacturing and supply requirements, do so on commercially reasonable terms and comply with cGMP could adversely affect our business in a number of ways,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event of approval, to initiate or continue clinical trials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submitting regulatory applications, or receiving marketing approvals,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the cooperation of future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subjecting our or any third-party manufacturing facilities to additional inspections by regulatory authorities;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requirements to cease development to market and commercialize our product candidates, an inability to meet commercial demands for our current or any other future product candidates, if approved. </w:t>
      </w:r>
    </w:p>
    <w:p>
      <w:pPr>
        <w:pStyle w:val="TextBody"/>
        <w:bidi w:val="0"/>
        <w:spacing w:before="120" w:after="283"/>
        <w:jc w:val="both"/>
        <w:rPr>
          <w:rFonts w:ascii="Times New Roman" w:hAnsi="Times New Roman"/>
          <w:sz w:val="20"/>
        </w:rPr>
      </w:pPr>
      <w:r>
        <w:rPr>
          <w:rFonts w:ascii="Times New Roman" w:hAnsi="Times New Roman"/>
          <w:b/>
          <w:i/>
          <w:color w:val="000000"/>
          <w:sz w:val="20"/>
        </w:rPr>
        <w:t>Any approved product candidates may fail to achieve the degree of market acceptance by physicians, patients, hospitals,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of our product candidates receives marketing approval, they may nonetheless fail to gain sufficient market acceptance by physicians, patients, healthcare payors and others in the medical community. Our CRAC channel inhibitors are a relatively novel technology, and no CRAC channel inhibitor-based therapy has been approved to date. Public perception may be influenced by third-party claims, such as claims that CRAC channel inhibitors are unsafe, ineffective and, consequently, our approach may not gain the acceptance of the public or the medical community. The degree of market acceptance of our product candidates, if approved for commercial sale, will depend on a number of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efficacy and potential advantages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offer our product candidates for sale at competitive prices;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convenience and ease of administration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coverage and adequate reimbursement by third-party payors, including government payors, for our products, if approved by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strength of marketing and distribution support;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example, Auxora is an injectable emulsion drug product that must be administered intravenously over four hours, and this dosing regimen may be inconvenient for some physicians or patients.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product candidates do not achieve an adequate level of acceptance, we may not generate significant product revenue and we may not become profitable.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not be able to successfully commercialize our product candidates due to unfavorable pricing regulations or third-party coverage and reimbursement policies, which could make it difficult for us to sell our product candidates profitably.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who are prescribed medications for the treatment of their conditions, and their prescribing physicians, generally rely on third-party payors to reimburse all or part of the costs associated with those medications. Patients are unlikely to use our product candidates unless coverage is provided and reimbursement is adequate to cover all or a significant portion of the cost of our product candidates. Therefore, coverage and adequate reimbursement are critical to a new product’s acceptance. Coverage decisions may depend upon clinical and economic standards that disfavor new products when more established or lower cost therapeutic alternatives are already available or subsequently become available.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significant uncertainty related to the insurance coverage and reimbursement of newly approved products. In the United States, there is no uniform policy among third-party payors for coverage and reimbursement. Third-party payors often rely upon Medicare coverage policy and payment limitations in setting reimbursement policies, but also have their own methods and approval process apart from Medicare coverage and reimbursement determinations. Therefore, one third-party payor’s determination to provide coverage for a product does not assure that other payors will also provide coverage for the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Coverage and reimbursement by a third-party payor may depend upon a number of factors, including the third-party payor’s determination that use of a product 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coverage and reimbursement approval for a product from a government or other third-party payor is a time-consuming and costly process, with uncertain results, that could require us to provide supporting scientific, clinical and cost effectiveness data for the use of our product candidates to the payor. There may be significant delays in obtaining such coverage and reimbursement for newly approved product candidates, and coverage may not be available, or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Reimbursement may not be available for any product that we commercialize and, if coverage and reimbursement are available, the level of reimbursement may not be adequate. Obtaining reimbursement for our product candidates may be particularly difficult because of the higher prices often associated with branded therapeutics and therapeutics administered under the supervision of a physician. Additionally, we expect our future products to potentially be more expensive than other therapeutics due to the personalized and proprietary product selection process of our product candidates, as well as our individualized approach to patient treatment, which requires patient hospitalization, in some cases intensive care unit admission and the potential administration of combination therapies, all of which increases costs and may result in reimbursement payment rates which may not be adequate or may require co-payments that patients find unacceptably high. Our inability to promptly obtain coverage and adequate reimbursement rates from both government-funded and private payors for any approved product candidates that we develop could have a material adverse effect on our operating results, our ability to raise capital needed to commercialize product candidates and our overall financial condition. Further, coverage policies and third-party reimbursement rates may change at any time. Even if favorable coverage and reimbursement status is attained, less favorable coverage policies and reimbursement rates may be implemented in the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Additionally, separate reimbursement for the product itself may or may not be available. Instead, the hospital or administering physician may be reimbursed only for providing the treatment or procedure in which our product is used. Further, from time to time, the Centers for Medicare &amp; Medicaid Services (“CMS”) revises the reimbursement systems used to reimburse health care providers, including the Medicare Physician Fee Schedule and Hospital Outpatient Prospective Payment System, which may result in reduced Medicare payments.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 For example, the U.S. Department of Health and Human Services (“HHS”) imposes rebates on many Medicare Part B and Medicare Part D products to penalize price increase that outpace inflation on an annual basis. Further, recently HHS has been empowered to negotiate the price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Outside of the United States, many countries require approval of the sale price of a product before it can be marketed, and the pricing review period only begins after marketing or product licensing approval is granted. In the European Union, governments influence the price of pharmaceutical products through their pricing and reimbursement rules and control of national health care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To obtain reimbursement or pricing approval in some of these countries, we may be required to conduct a clinical trial that compares the cost-effectiveness of our product candidate to other available therapies. Other member states allow companies to fix their own prices for medicines but monitor and control company profits. The downward pressure on health care costs in general, particularly prescription drugs, has become very intense. As a result, new products are facing increasingly high barriers to entry. In addition, in some countries, cross-border imports from low-priced markets exert a commercial pressure on pricing within a country.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 </w:t>
      </w:r>
    </w:p>
    <w:p>
      <w:pPr>
        <w:pStyle w:val="TextBody"/>
        <w:bidi w:val="0"/>
        <w:spacing w:before="120" w:after="283"/>
        <w:jc w:val="both"/>
        <w:rPr>
          <w:rFonts w:ascii="Times New Roman" w:hAnsi="Times New Roman"/>
          <w:sz w:val="20"/>
        </w:rPr>
      </w:pPr>
      <w:r>
        <w:rPr>
          <w:rFonts w:ascii="Times New Roman" w:hAnsi="Times New Roman"/>
          <w:b/>
          <w:i/>
          <w:color w:val="000000"/>
          <w:sz w:val="20"/>
        </w:rPr>
        <w:t>If any of our product candidates are approved for marketing and commercialization and we are unable to establish sales and marketing capabilities or enter into agreements with third parties to sell and market our product candidates, we will be unable to successfully commercialize our product candidates if and when they are approved.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no sales, marketing or distribution capabilities or experience. To achieve commercial success for any approved product for which we retain sales and marketing responsibilities, we must either develop a sales and marketing organization, which would be expensive and time consuming, or outsource these functions to other third parties. In the future, we may choose to build a focused sales and marketing infrastructure to sell, or participate in sales activities with our collaborators for, some of our product candidates if and when they are approved.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enter into arrangements with third parties to perform sales, marketing and distribution services, our product revenue or the profitability of such product revenue to us are likely to be lower than if we were to market and sell any products that we develop ourselves. In addition, we may not be successful in entering into arrangements with third parties to sell and market our product candidates or may be unable to do so on terms that are favorable to us. If we do not establish sales and marketing capabilities successfully, either on our own or in collaboration with third parties, we will not be successful in commercializing our product candidates. </w:t>
      </w:r>
    </w:p>
    <w:p>
      <w:pPr>
        <w:pStyle w:val="TextBody"/>
        <w:bidi w:val="0"/>
        <w:spacing w:before="120" w:after="283"/>
        <w:jc w:val="both"/>
        <w:rPr>
          <w:rFonts w:ascii="Times New Roman" w:hAnsi="Times New Roman"/>
          <w:sz w:val="20"/>
        </w:rPr>
      </w:pPr>
      <w:r>
        <w:rPr>
          <w:rFonts w:ascii="Times New Roman" w:hAnsi="Times New Roman"/>
          <w:b/>
          <w:i/>
          <w:color w:val="000000"/>
          <w:sz w:val="20"/>
        </w:rPr>
        <w:t>Even if we obtain FDA approval of any of our product candidates, we may never obtain approval or commercialize such product candidates outside of the United States, which would limit our ability to realize their full market potential.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market any product candidates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 candidates will be harmed.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Our Industry and Business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highly dependent on our key personnel, and if we are not successful in attracting and retaining highly qualified personnel, we may not be able to continue to successfully develop or commercialize our product candidates or otherwise implement our business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and retain highly qualified managerial, scientific, medical, legal, sales and marketing and other personnel. We are highly dependent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and scientific personnel. The loss of the services of any of these individuals could impede, delay or prevent the successful development of our product pipeline, completion of our planned clinical trials, commercialization of our product candidates or in-licensing or acquisition of new assets and could negatively impact our ability to successfully implement our business plan. If we lose the services of any of these individuals, we might not be able to find suitable replacements on a timely basis or at all, and our business could be harmed as a result.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conduct substantially all of our operations at our facility in La Jolla, California. This region is headquarters to many other biopharmaceutical companies and many academic and research institutions. Competition for skilled personnel in our market is intense and may limit our ability to hire and retain highly qualified personnel on acceptable terms or at all.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We may face additional challenges in recruiting individuals due to hardship we have experienced, including the uncertainty around our ability to continue as a going concern. Despite our efforts to retain valuable employees, members of our management, scientific and development teams may terminate their employment with us on short notice. Although we have employment agreements with certain of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 </w:t>
      </w:r>
    </w:p>
    <w:p>
      <w:pPr>
        <w:pStyle w:val="TextBody"/>
        <w:bidi w:val="0"/>
        <w:spacing w:before="120" w:after="283"/>
        <w:jc w:val="both"/>
        <w:rPr>
          <w:rFonts w:ascii="Times New Roman" w:hAnsi="Times New Roman"/>
          <w:sz w:val="20"/>
        </w:rPr>
      </w:pPr>
      <w:r>
        <w:rPr>
          <w:rFonts w:ascii="Times New Roman" w:hAnsi="Times New Roman"/>
          <w:b/>
          <w:i/>
          <w:color w:val="000000"/>
          <w:sz w:val="20"/>
        </w:rPr>
        <w:t>Dr. Rachel Leheny, our Chief Executive Officer and a member of our Board of Directors, and Eric W. Roberts, our Chief Business Officer and a member of our Board of Directors, also provide services for Valence, an investment fund that is one of our significant stockholders.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Chief Executive Officer and member of our Board of Directors, Dr. Leheny, and our Chief Business Officer and member of our Board of Directors, Mr. Roberts, are the co-founders of Valence Life Sciences (“Valence”), are employed as managing directors of Valence and beneficially own the shares of the company held by Valence. Entities affiliated with Valence together with Dr. Leheny and Mr. Roberts beneficially own a significant portion of our common stock. Although we expect that each of Dr. Leheny and Mr. Roberts will devote on average at least 40 hours per week to our company and remain highly active in our management, they will also continue to devote time to Valence. Because Dr. Leheny and Mr. Roberts are not required to work exclusively for us, their attention to other activities could slow our operations, which could adversely affect our business. In addition, although we do not believe Valence currently has any investments that conflict with our interests, in the future Valence may invest in companies that may compete with us for business opportunities or develop products that are competitive with ours. As a result, Dr. Leheny’s and Mr. Roberts’ interests may not be aligned with the interests of our other stockholders, and they may from time to time be incentivized to take certain actions that benefit their other interests and that our other stockholders do not view as being in their interest as investors in our company. </w:t>
      </w:r>
    </w:p>
    <w:p>
      <w:pPr>
        <w:pStyle w:val="TextBody"/>
        <w:bidi w:val="0"/>
        <w:spacing w:before="120" w:after="283"/>
        <w:jc w:val="both"/>
        <w:rPr>
          <w:rFonts w:ascii="Times New Roman" w:hAnsi="Times New Roman"/>
          <w:sz w:val="20"/>
        </w:rPr>
      </w:pPr>
      <w:r>
        <w:rPr>
          <w:rFonts w:ascii="Times New Roman" w:hAnsi="Times New Roman"/>
          <w:b/>
          <w:i/>
          <w:color w:val="000000"/>
          <w:sz w:val="20"/>
        </w:rPr>
        <w:t>We expect to expand our development, regulatory and operational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we employed 16 full-time employees, eight of whom were primarily engaged in research and development activities. We also engage various consultants that are primarily engaged in research and development activities. As we advance our research and development programs, we may be required to further increase the number of our employees, particularly in the areas of clinical development, quality, regulatory affairs and, if any of our product candidates receives marketing approval, sales, marketing and distribution. To manage any future growth, we must: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identify, recruit integrate, maintain and motivate additional qualified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 our development efforts effectively, including the initiation and conduct of clinical trials for our product candidates, both as a monotherapy and combination therapy;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improve our operational, financial and management controls, reporting systems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need to effectively execute our growth strategy requires that we: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discover new product candidates, develop the process and analytical methods for IND-enabling studies and regulatory submissions, complete the required IND-enabling studies for each, and receive approval from the FDA and other regulatory authorities to initiate clinical trials for such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 our clinical trials effectively;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identify, recruit, retain, incentivize and integrate additional employees;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sufficient quantities of drug product for clinical supply and establish manufacturing capabilities or arrangements with third-party manufacturers for commercial supply, if and when approved;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improve our operational, financial and management controls, reports systems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Furthermore, the United States is currently experiencing an increasingly competitive labor market and we are uncertain as to the employment environment in the future, or how that environment will impact our workforce, including our ability to hire or retain qualified employees, consultants, contractors or other key personnel to facilitate our growth. </w:t>
      </w:r>
    </w:p>
    <w:p>
      <w:pPr>
        <w:pStyle w:val="TextBody"/>
        <w:bidi w:val="0"/>
        <w:spacing w:before="120" w:after="283"/>
        <w:jc w:val="both"/>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 candidates more quickly or marketing them more successfully than 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development and commercialization of new product candidates is highly competitive. We compete in the segments of the pharmaceutical, biotechnology and other related markets that develop therapies for the treatment of acute critical illnesses.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marketing approval for their products more rapidly than we may obtain approval for ours, which could result in our competitors establishing a strong market position before we are able to enter the market. Moreover, with the proliferation of new drugs and therapies into critical illnesses, we expect to face increasingly intense competition as new technologies become available. If we fail to stay at the forefront of technological change, we may be unable to compete effectively. Any product candidates that we successfully develop and commercialize will compete with existing therapies and new therapies that may become available in the future. The highly competitive nature of and rapid technological changes in the biotechnology and pharmaceutical industries could render our product candidates or our technology obsolete, less competitive or uneconomical.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 and type of clinical data that may be required by regulatory authorities may increase or change. Consequently, the results of our clinical trials for product candidates will likely need to show a risk benefit profile that is competitive with or more favorable than products approved prior to ours in order to obtain marketing approval or, if approved, a product label that is favorable for commercialization. If the risk benefit profile is not competitive with those product candidates or product candidate candidates, we may have developed a product that is not commercially viable, that we are not able to sell profitably or that is unable to achieve favorable pricing or reimbursement. In such circumstances, our future product business, financial condition, results of operations and prospects could be adversely affected.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significant investment across the biotechnology and pharmaceutical industries in developing novel and proprietary therapies for acute critical illnesses. We face substantial and increasing competition on multiple fronts, including from larger companies with access to more resources and capital, as well as more experience in research and development, clinical trials and commercialization. Smaller or earlier-stage companies as well as academic institutions, government agencies and public and private research institutions may also prove to be significant competitors. Additionally, we may face competition in hiring scientific and management personnel, establishing clinical trial sites, recruiting patients to participate in clinical trials and acquiring technologies complementary to, or necessary for our programs.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Our competitors also may obtain FDA or other regulatory approval for their product candidates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price and degree of reimbursement.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subject enrollment for clinical trials, as well as in acquiring technologies complementary to, or necessary for, our programs.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key competitive factors affecting the success of all of our programs are likely to be the possibility of other companies developing drugs that address the same disease indications that we are aiming to address. Some of these markets are limited and significant competition could reduce the number of patients we are able to reach. If we are not successful in developing, commercializing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and achieving higher levels of reimbursement than our competitors, we will not be able to compete against them and our business would be adversely affected.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wish to form collaborations in the future with respect to our product candidates, but may not be able to do so or realize the potential benefits of such transactions, which may cause us to alter or delay our development and commercialization plans.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development and potential commercialization of our product candidates will require substantial additional capital to fund expenses. We may, in the future, decide to collaborate with other biopharmaceutical companies for the development and potential commercialization of those product candidates, including in territories outside the United States or for certain indications.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third-party for development and commercialization of a product candidate, we can expect to relinquish some or all of the control over the future success of that product candidate to the third-party.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candidates. We may also be restricted under any license agreements from entering into agreements on certain terms or at all with potential collaborators.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Collaborations are complex and time-consuming to negotiate and document. In addition, there have been a significant number of recent business combinations among large pharmaceutical companies that have resulted in a reduced number of potential future collaborators and changes to our strategies.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candidates may also require specific components to work effectively and efficiently, and rights to those components may be held by others. We may be unable to in-license any compositions, methods of use, processes or other third-party intellectual property rights from third parties that we identify. We may fail to obtain any of these licenses at a reasonable cost or on reasonable terms, which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120" w:after="283"/>
        <w:jc w:val="both"/>
        <w:rPr>
          <w:rFonts w:ascii="Times New Roman" w:hAnsi="Times New Roman"/>
          <w:sz w:val="20"/>
        </w:rPr>
      </w:pPr>
      <w:r>
        <w:rPr>
          <w:rFonts w:ascii="Times New Roman" w:hAnsi="Times New Roman"/>
          <w:b/>
          <w:i/>
          <w:color w:val="000000"/>
          <w:sz w:val="20"/>
        </w:rPr>
        <w:t>Any collaboration arrangements that we may enter into in the future may not be successful, which could adversely affect our ability to develop and commercialize our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future collaborations that we enter into may not be successful. The success of our collaboration arrangements will depend heavily on the efforts and activities of our collaborators. Collaborations are subject to numerous risks, which may include that: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Auxora and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could grant exclusive rights to our collaborators that would prevent us from collaborating with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(or the third parties with whom we work) actual or perceived failure to comply with applicable data protection laws, regulations, and other obligations could lead to government enforcement actions (which could include civil or criminal penalties), private litigation and mass arbitration demands, and/or adverse publicity and could negatively affect our operating results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the third parties with whom we work are subject to federal, state, and foreign data protection laws, regulations, guidance, industry standards, external and internal privacy and security policies, contractual requirements, and other obligations that address privacy and data security. In the United States, numerous federal, state, and local laws and regulations, including federal and state health information privacy laws, state data breach notification laws, personal data protection laws, federal, state, and local consumer protection laws (e.g., Section 5 of the Federal Trade Commission Act), and other similar laws govern the collection, use, disclosure, and protection of health-related and other personal data. In addition, we obtain health information from third parties (including research institutions from which we obtain clinical trial data) that are subject to privacy and security requirements under federal HIPAA, as amended by the HITECH. Depending on the facts and circumstances, we could be subject to significant penalties if we obtain, use, or disclose individually identifiable protected information provided by a HIPAA-covered entity or business associate in a manner that is not authorized or permitted by HIPAA.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numerous U.S. states have enacted comprehensive privacy laws that impose certain obligations on covered businesses and existing laws are being updated and strengthened. For example, the CCPA requires covered companies to provide certain disclosures to California consumers (including business representatives and employees who are California residents) and provide such consumers data protection and privacy rights, including the ability to opt-out of certain sales or sharing of personal data. The CCPA provides for administrative penalties for violations, as well as a private right of action for certain data breaches that result in the loss of personal data. This private right of action may increase the likelihood of, and risks associated with, data breach litigation. The CPRA expanded the CCPA’s requirements, including by adding a right for consumers to correct their personal data and establishing a regulatory agency to implement and enforce the law. Moreover, a number of other states have enacted data protection laws, and similar laws are being considered in several other states, as well as at the federal and local levels. Although these laws exempt some data processed in the context of clinical trials,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may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Internationally, virtually every jurisdiction in which we operate has established its own data security and privacy legal framework that may also apply to health-related and other personal data obtained outside of the United States. For example, the EU has adopted the EU GDPR and the United Kingdom has adopted the UK General Data Protection Regulation (collectively, “GDPR”), which imposes strict requirements for processing the personal data of individuals within the EEA and the United Kingdom. Companies that must comply with the GDPR face increased compliance obligations and risk, including more robust regulatory enforcement of data protection requirements and potential fines for noncompliance of up to 20 million euros, 17.5 million pounds sterling under the UK GDPR, or in each case, up to 4% of the annual global revenue of the noncompliant company, whichever is greater, as well as private litigation related to the processing of personal data brought by classes of data subjects or consumer protection organizations authorized at law to represent their interests. Among other requirements, the GDPR regulates transfers of personal data subject to the GDPR to third countries that have not been found to provide adequate protection to such personal data.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there are currently various mechanisms that may be used to transfer personal data from the EEA and UK to the United States in compliance with law, such as the EEA standard contractual clauses, the United Kingdom’s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Moreover,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India Digital Personal Data Protection Act 2023 (“DPDP”) came into force in 2024. Like the GDPR, the DPDP has extra-territorial reach and failure to comply with the DPDP may lead to substantial fines. A significant portion of our CARPO trial was conducted in India and future trials may be conducted in India. We and certain third parties with whom we work may be subject to the DPDP.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For example, clinical trial subjects about whom we or the third parties with whom we work obtain information, as well as the providers who share this information with us, contractually limit our ability to use and disclose the information. We publish privacy policies, marketing materials, whitepapers,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employees, personnel, and third parties with whom we work may use generative artificial intelligence (“AI”) and/or automated decision-making technologies to perform their work, and the disclosure and use of personal data in AI technologies is subject to various privacy laws and other privacy obligations. For example, we may use AI technologies to process patient or clinical trial participant data in the course of our business. Governments have passed and are likely to pass additional laws and regulations regulating AI and/or automated decision-making technologies. Our use of such technologies could result in additional compliance costs, regulatory investigations and actions, and lawsuits. If we are unable to use AI and/or automated decision-making technologies, it could make our business less efficient and result in competitive disadvantages.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If we or the third parties with whom we work fail, or are perceived to have failed, to address or comply with U.S. and international data protection laws, regulations, and other obligations, we could face significant consequences, including without limitation government enforcement actions (which could include investigations, civil or criminal penalties, audits inspections), private litigation or mass arbitration demands, additional reporting requirements or oversight, bans or restrictions on processing personal data, data breach reporting requirements and/or adverse publicity and could negatively affect our operating results and business. Claims that we have violated individuals’ privacy rights, failed to comply with data protection or privacy obligations, even if we are not found liable, could be expensive and time-consuming to defend and could result in adverse publicity that could harm our business. </w:t>
      </w:r>
    </w:p>
    <w:p>
      <w:pPr>
        <w:pStyle w:val="TextBody"/>
        <w:bidi w:val="0"/>
        <w:spacing w:before="120" w:after="283"/>
        <w:jc w:val="both"/>
        <w:rPr>
          <w:rFonts w:ascii="Times New Roman" w:hAnsi="Times New Roman"/>
          <w:sz w:val="20"/>
        </w:rPr>
      </w:pPr>
      <w:r>
        <w:rPr>
          <w:rFonts w:ascii="Times New Roman" w:hAnsi="Times New Roman"/>
          <w:b/>
          <w:i/>
          <w:color w:val="000000"/>
          <w:sz w:val="20"/>
        </w:rPr>
        <w:t>Our information technology systems, or those of our CROs, contractors, consultants, or other third parties with whom we work, may fail or suffer security breaches, loss or leakage of data, and other disruptions,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increasingly dependent upon information technology systems, infrastructure and data to operate our business. In the ordinary course of business, we and the third parties with whom we work, collect, store and transmit confidential information (including but not limited to intellectual property, proprietary business information and personal data, including health-related information) (collectively, “sensitive information”).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use of digital technologies has increased, cyber incidents, including deliberate attacks and attempts to gain unauthorized access to computer systems and networks, which could result in material adverse impacts to our business, including the theft of our sensitive information, have increased in frequency and sophistication.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Despite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implementation of security measures, given their size and complexity and the increasing amounts of confidential information that they maintain, our information technology systems and those of our third-party CROs, contractors, consultants, and other third parties with whom we work are subject to a variety of evolving threats, including but not limited to service interruptions, system malfunction, natural disasters, terrorism, war and telecommunication and electrical failures, personnel misconduct or error, malware (including as a result of advanced persistent intrusions), ransomware, denial-of-service attacks, social engineering attacks, malicious code (such as viruses or worms), credential stuffing attacks, credential harvesting, supply-chain attacks, software bugs, server malfunctions, software or hardware failures, loss of data or other information technology assets, attacks enhanced or facilitated by AI, and other similar threats. For example, we have experienced phishing attacks in the past and we may be a target of phishing attacks or other cyber-attacks in the future. 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To the extent that any disruption or security breach were to result in a loss of, or damage to, our sensitive information or applications (or those of the third parties with whom we work), or inappropriate disclosure of sensitive information, we could incur liability and reputational damage, and the further development and commercialization of our product candidates could be delayed. It may be difficult 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Remote work has increased the risks to our information technology systems and data, as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20" w:after="283"/>
        <w:jc w:val="both"/>
        <w:rPr>
          <w:rFonts w:ascii="Times New Roman" w:hAnsi="Times New Roman"/>
          <w:sz w:val="20"/>
        </w:rPr>
      </w:pPr>
      <w:r>
        <w:rPr>
          <w:rFonts w:ascii="Times New Roman" w:hAnsi="Times New Roman"/>
          <w:color w:val="000000"/>
          <w:sz w:val="20"/>
        </w:rPr>
        <w:t>We also have outsourced elements of our operations to third parties, and as a result we manage a number of third parties who have access to our sensitive information. We rely on these third parties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w:t>
      </w:r>
      <w:r>
        <w:rPr>
          <w:rFonts w:ascii="Times New Roman" w:hAnsi="Times New Roman"/>
          <w:color w:val="231F20"/>
          <w:sz w:val="20"/>
        </w:rPr>
        <w:t xml:space="preserv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the third parties with whom we work supply chains have not been compromised.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we invest in our information security systems, we cannot assure you that our data protection efforts and our investment in information technology will be effective and prevent breakdowns, data leakages, breaches in our systems or other cyber incidents that could have an adverse effect upon our reputation, business, financial condition, results or operations and prospects. We may not be successful in preventing or detecting cyber-attacks or mitigating their effects, or we may be perceived as having failed to do so. We take steps designed to detect, mitigate and remediate vulnerabilities in our information systems (such as hardware and/or software, including that of the third parties with whom we work), but we have not, and in the future may not, however, be able to detect and remediate all such vulnerabilities, including on a timely basis. Further, we have (and may in the future) experienced delays in developing and deploying remedial measures and patches designed to address any such identified vulnerabilities. Vulnerabilities could be exploited and result in a security incident. For example, if a cyber-attack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Additionally, theft of our intellectual property or proprietary business information could require substantial expenditures to remedy. Furthermore, any of the previously identified or similar threats have in the past and may in the future cause a security incident or other interruption that have in the past and may in the future result in the loss, misappropriation, and/or unauthorized access, use, or disclosure of, or access to our sensitive information (including trade secrets or other intellectual property, proprietary business information, and personal data) or our information technology systems, or those of the third parties with whom we work. For example, any such event that leads to unauthorized access, use, or disclosure of personal data, including personal data regarding our clinical trial subjects or employees, could harm our reputation directly, compel us to comply with federal and/or state breach notification laws and foreign law equivalents (or we may voluntarily choose to make such notifications), subject us to mandatory corrective action, and otherwise subject us to liability under laws and regulations that protect the privacy and security of personal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which could result in significant legal and financial exposure and reputational damages that could potentially have an adverse effect on our business (and that of the third parties with whom we work).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120" w:after="283"/>
        <w:jc w:val="both"/>
        <w:rPr>
          <w:rFonts w:ascii="Times New Roman" w:hAnsi="Times New Roman"/>
          <w:sz w:val="20"/>
        </w:rPr>
      </w:pPr>
      <w:r>
        <w:rPr>
          <w:rFonts w:ascii="Times New Roman" w:hAnsi="Times New Roman"/>
          <w:b/>
          <w:i/>
          <w:color w:val="000000"/>
          <w:sz w:val="20"/>
        </w:rPr>
        <w:t>We or the third parties upon whom we depend may be adversely affected by earthquakes, fires or other natural disasters, terrorism or similar unforeseen events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headquarters are located in California near major earthquake faults and fire zones. If earthquakes, fires, other natural disasters, terrorism or similar unforeseen events beyond our control prevent us from using all or a significant portion of our headquarters,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AEs. If such an event were to affect our supply chain, it could have a material adverse effect on our ability to conduct our clinical trials, our development plans and business.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we had federal and state net operating loss (“NOL”) carryforwards of approximately $315.4 million and nil, respectively. $74.6 million of our federal NOLs were generated prior to 2018 and will begin to expire in 2026, unless previously utilized, but may be used to offset up to 100% of future taxable income before expiration. Our federal NOLs generated in tax years beginning after December 31, 2017, may be carried forward indefinitely, but the deductibility of such federal NOL carryforwards in a taxable year is limited to 80% of taxable income in such year. We also have federal and state research and development credit carryforwards totaling $14.3 million and $3.3 million, respectively. The federal research and development credit carryforwards will begin to expire in 2027, unless previously utilized. The state research and development credits do not expire.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under Sections 382 and 383 of the Internal Revenue Code of 1986, as amended (the “Code”), and corresponding provisions of state law, if a corporation undergoes an “ownership change,” which is generally defined as a greater than 50 percentage point change (by value) in its equity ownership over a rolling three-year period, the corporation’s ability to use its pre-change NOL carryforwards and certain other tax attributes to offset its post-change income or taxes may be limited. This could limit the amount of NOL carryforwards or other applicable tax attributes that we can utilize annually to offset future taxable income or tax liabilities. We have not undertaken a Section 382 study, and it is possible that we have previously undergone one or more ownership changes so that our use of net operating losses is subject to limitation. We may experience ownership changes in the future as a result of subsequent shifts in our stock ownership. As a result, if we earn net taxable income,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 As a result, we may be unable to use all or a material portion of our NOL carryforwards and other tax attributes, which could adversely affect our future cash flows.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U.S. government recently enacted legislation commonly referred to as the One Big Beautiful Bill Act (“OBBBA”), that (along with other recent U.S. federal tax reform)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Future guidance from the Internal Revenue Service and other tax authorities with respect to any legislation may affect us, and certain aspects of such legislation could be repealed or modified or sunset in future years. In addition, it is uncertain if and to what extent various states will conform to federal tax laws. Future tax reform legislation could have a 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impact on the value of our deferred tax assets, could result in significant one-time charges, and could increase our future U.S. tax expense. </w:t>
      </w:r>
    </w:p>
    <w:p>
      <w:pPr>
        <w:pStyle w:val="TextBody"/>
        <w:bidi w:val="0"/>
        <w:spacing w:before="120" w:after="283"/>
        <w:jc w:val="both"/>
        <w:rPr>
          <w:rFonts w:ascii="Times New Roman" w:hAnsi="Times New Roman"/>
          <w:sz w:val="20"/>
        </w:rPr>
      </w:pPr>
      <w:r>
        <w:rPr>
          <w:rFonts w:ascii="Times New Roman" w:hAnsi="Times New Roman"/>
          <w:b/>
          <w:i/>
          <w:color w:val="000000"/>
          <w:sz w:val="20"/>
        </w:rPr>
        <w:t>Changes in healthcare law and implementing regulations, as well as changes in healthcare policy, may impact our business in ways that we cannot currently predict, and may have a significant adverse effect on our business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Among policy makers and payors in the United States and elsewhere, including in the EU,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example, the Patient Protection and Affordable Care Act, as amended by the Health Care and Education Reconciliation Act (collectively, the “Affordable Care Act”), substantially changed the way healthcare is financed by both the government and private insurers, and continues to significantly impact the U.S. pharmaceutical industry.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Since its enactment, there have been amendments to and judicial, executive and Congressional challenges to certain aspects of the Affordable Care Act.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unclear how any such challenges and the healthcare reform measures of the second Trump administration will impact the Affordable Care Act, our business, or financial condition. Additionally, in its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the U.S. Supreme Court overturned the longstanding Chevron doctrine, under which courts were required to give deference to regulatory agencies’ reasonable interpretations of ambiguous federal statutes. The </w:t>
      </w:r>
      <w:r>
        <w:rPr>
          <w:rFonts w:ascii="Times New Roman" w:hAnsi="Times New Roman"/>
          <w:i/>
          <w:color w:val="000000"/>
          <w:sz w:val="20"/>
        </w:rPr>
        <w:t>Loper Bright</w:t>
      </w:r>
      <w:r>
        <w:rPr>
          <w:rFonts w:ascii="Times New Roman" w:hAnsi="Times New Roman"/>
          <w:color w:val="000000"/>
          <w:sz w:val="20"/>
        </w:rPr>
        <w:t xml:space="preserve">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legislative changes have been proposed and adopted since the Affordable Care Act was enacted that affect healthcare expenditures. These changes also include aggregate reductions to Medicare payments to providers of 2% per fiscal year pursuant to the Budget Control Act of 2011, which began in 2013 and, due to legislative amendments to the statute, will remain in effect until 2032, unless additional Congressional action is taken. In January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Any reduction in reimbursement from Medicare or other government programs may result in a similar reduction in payments from private payors. In addition, new laws may result in additional reductions in Medicare and other healthcare funding, which may adversely affect customer demand and affordability for our product candidates and, accordingly, the results of our financial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that these and other healthcare reform measures that may be adopted in the future, particularly in light of the recent U.S. Presidential and Congressional elections, may result in more rigorous coverage criteria and lower reimbursement and in additional downward pressure on the price that we receive for any approved product. The current presidential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and proposals include, for example, (1) reducing agency workforce and cutting programs; (2) directing HHS and other agencies to lower prescription drug costs for Medicare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Congress may introduce and ultimately pass health care related legislation that could impact the drug approval process and make changes to the Medicare Drug Price Negotiation Program. Any reduction in reimbursement from Medicare or other government-funded programs may result in a similar reduction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payments from private payors. The implementation of cost-containment measures or other healthcare reforms may prevent us from being able to generate revenue, attain profitability or commercialize our drugs, once marketing approval is obtained.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European Union, coverage and reimbursement status of any product candidates for which we obtain regulatory approval are provided for by the national laws of member states. The requirements may differ across the EU member states. Also, at national level, actions have been taken to enact transparency and anti-gift laws (similar to the US Physician Payments Sunshine Act) regarding payments between pharmaceutical companies and health care professionals. </w:t>
      </w:r>
    </w:p>
    <w:p>
      <w:pPr>
        <w:pStyle w:val="TextBody"/>
        <w:bidi w:val="0"/>
        <w:spacing w:before="120" w:after="283"/>
        <w:jc w:val="both"/>
        <w:rPr>
          <w:rFonts w:ascii="Times New Roman" w:hAnsi="Times New Roman"/>
          <w:sz w:val="20"/>
        </w:rPr>
      </w:pPr>
      <w:r>
        <w:rPr>
          <w:rFonts w:ascii="Times New Roman" w:hAnsi="Times New Roman"/>
          <w:b/>
          <w:i/>
          <w:color w:val="000000"/>
          <w:sz w:val="20"/>
        </w:rPr>
        <w:t>We are subject to applicable fraud and abuse, transparency, government price reporting, and other healthcare laws and regulations.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Healthcare providers and third-party payors will play a primary role in the recommendation and prescription of any future product candidates we may develop and any product candidates for which we obtain marketing approval. Our current and future arrangements with clinical investigators, third-party payors, healthcare provider and customers expose us to broadly applicable fraud and abuse and other healthcare laws and regulations that may affect the business or financial arrangements and relationships through which we research, market, sell and distribute our product candidates. The laws that may affect our ability to operate include, but are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federal Anti-Kickback Statute has also been interpreted to apply to arrangements between pharmaceutical manufacturers on the one hand and prescribers, and purchasers, on the other the other hand. There are a number of statutory exceptions and regulatory safe harbors protecting some common activities from prosecution, but these exceptions and safe harbors are narrowly drawn. Practices that are alleged to be intended to induce prescribing, purchases or recommendations, or include any payments of more than fair market value, may be subject to scrutiny if they do not qualify for an exception or safe harbor. In addition, a person or entity does not need to have actual knowledge of the statute or specific intent to violate it in order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civil and criminal false claims laws, such as the civil False Claims Act (“FCA”), which can be enforced by private citizens through civil qui tam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For example, pharmaceutical companies have been prosecuted under the FCA in connection with, among other things their alleged off-label promotion of drugs, engaging in improper consulting arrangements with physicians, concealing price concessions in the pricing information submitted to the government for government price reporting purposes, and providing free product to customers with the expectation that the customers would bill federal health care programs for the product.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Moreover, a claim including items or services resulting from a violation of the federal Anti-Kickback Statute constitutes a false or fraudulent claim for purposes of the FCA;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which,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as amended by HITECH and their implementing regulations, which imposes privacy, security and breach reporting obligations with respect to individually identifiable health information upon covered entities, including certain healthcare providers, health plans, and healthcare clearinghouses, and their respective business associates and covered subcontractors.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transparency requirements under the Physician Payments Sunshine Act, created under the Affordable Care Act, which requires, among other things, certain manufacturers of drugs, devices, biologics and medical supplies reimbursed under Medicare, Medicaid, or the Children’s Health Insurance Program to report to CMS information related to payments and other transfers of value provided to physicians (defined to include doctors, dentists, optometrists, podiatrists and chiropractors), other healthcare professionals (such as physician assistants and nurse practitioners) and teaching hospitals and physician ownership and investment interests, including such ownership and investment interests held by a physician’s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and state consumer protection and unfair competition laws, which broadly regulate marketplace activities and activities that potentially harm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 and foreign law equivalents of each of the above federal laws, such as anti-kickback and false claims laws, that may impose similar or more prohibitive restrictions, and may apply to items or services reimbursed by any non-governmental third-party payors, including private insurers;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state and local laws that require the registration of pharmaceutical sales representatives; and state health information privacy laws, many of which differ from each other in significant ways and often are not pre-empted by HIPAA, thus requiring additional compliance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entered into consulting and scientific advisory board arrangements with physicians and other healthcare providers, including some who could influence the use of our product candidates, if approved, and have received equity awards as compensation for services provided to us.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our product candidates, if approved, to be in violation of applicable laws.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Federal and state enforcement bodies have continued their scrutiny of interactions between healthcare companies and healthcare providers, which has led to significant investigations, prosecutions, convictions and settlements in the healthcare industry. Responding to investigations can be time-and resource-consuming and can divert management’s attention from the business. Any such investigation or settlement could increase our costs or otherwise have an adverse effect on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Ensuring that our business arrangements with third parties comply with applicable healthcare laws and regulations will likely be costly. If our operations are found to be in violation of any of these laws or any other current or future governmental laws and regulations that may apply to us, we may be subject to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t>
      </w:r>
    </w:p>
    <w:p>
      <w:pPr>
        <w:pStyle w:val="TextBody"/>
        <w:bidi w:val="0"/>
        <w:spacing w:before="120" w:after="283"/>
        <w:jc w:val="both"/>
        <w:rPr>
          <w:rFonts w:ascii="Times New Roman" w:hAnsi="Times New Roman"/>
          <w:sz w:val="20"/>
        </w:rPr>
      </w:pPr>
      <w:r>
        <w:rPr>
          <w:rFonts w:ascii="Times New Roman" w:hAnsi="Times New Roman"/>
          <w:b/>
          <w:i/>
          <w:color w:val="000000"/>
          <w:sz w:val="20"/>
        </w:rPr>
        <w:t>Our current or future employees, principal investigators, consultants and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principal investigators, consultants and commercial partners. Misconduct by these parties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consolidated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those actions could have a significant impact on our business, including the imposition of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subject to a corporate integrity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agreement or other agreement to resolve allegations of non-compliance with these laws, and the curtailment or restructuring of our operations.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If we are unable to obtain and maintain sufficient intellectual property protection for Auxora,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Auxora, any future product candidates, and other proprietary technologies if approved,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success will depend in part on our ability to obtain and maintain a combination of patents, trade secret protection and confidentiality agreements to protect the intellectual property related to Auxora, any future product candidates, and other proprietary technologies we develop. If we are unable to obtain or maintain patent protection with respect to Auxora, any future product candidates, and other proprietary technologies we may develop, our business, financial condition, results of operations, and prospects could be materially harmed.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Auxora,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 application process is subject to numerous risks and uncertainties, and there can be no assurance that we or any of our actual or potential future collaborators will be successful in protecting Auxora, any future product candidates, and other proprietary technologies and their uses by obtaining, defending and enforcing patents. These risks and uncertainties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patents that may be issued may be challenged, invalidated, modified, revoked, circumvented, found to be unenforceable, or may otherwise not provide any competitive advantage;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composition of matter, methods or formulations or by claiming subject matter that could dominate our patent position;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successful opposition to any patents owned by or licensed to us could deprive us of rights necessary for the practice of our technologies or the successful commercialization of any products or product candidates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patent applications in the United States and most other countries are confidential for a period of time after filing, we cannot be certain that we were the first to file any patent application related to Auxora, any future product candidates, and other proprietary technologies and their uses;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 candidates in those countries.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owned patents or pending patent applications, or that we were the first to file for patent protection of such inventions.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Auxora, any future product candidates, and other proprietary technologies and erode or negate any competitive advantage we may have, which could have a material adverse effect on our financial condition and results of operations. For example: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compounds that are similar to Auxora and any future product candidates but that are not covered by the claims of our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not have been the first to make the inventions covered by our pending patent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not have been the first to file patent applications for these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patents that we obtain may not provide us with any competitive advantages;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ensure that any of our patents, or any of our pending patent applications, if issued, will include claims having a scope sufficient to protect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ensure that we will be able to successfully commercialize our products on a substantial scale, if approved, before the relevant patents that we own expire;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by us, or that we will not be involved in interference, opposition or invalidity proceedings before U.S. or non-U.S. patent offices.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be certain that the claims in our issued patents and pending patent applications covering Auxora or any future product candidates will be considered patentable by the USPTO, courts in the United States, or by patent offices and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strength of patents in the biotechnology and pharmaceutical fields involves complex legal and scientific questions and can be uncertain. The patent applications that we own may fail to result in issued patents with claims that cover Auxora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Auxora and any future product candidates. Furthermore, even if they are unchallenged, our patents may not adequately protect our intellectual property, provide exclusivity for Auxora or any future product candidates or prevent others from designing around our claims. If the breadth or strength of protection provided by the patents we hold with respect to Auxora or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future product candidates is threatened, it could dissuade companies from collaborating with us to develop, or threaten our ability to commercialize, Auxora or any future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U.S. patent applications containing a claim not entitled to priority before March 16, 2013, there is greater level of uncertainty in the patent law. In September 2011, the Leahy-Smith America Invents Act, or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w:t>
      </w:r>
    </w:p>
    <w:p>
      <w:pPr>
        <w:pStyle w:val="TextBody"/>
        <w:bidi w:val="0"/>
        <w:spacing w:before="120" w:after="283"/>
        <w:jc w:val="both"/>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do not obtain patent term extension for Auxora, our business may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Auxora, or any future product candidate we may develop, one or more of patents issuing from our U.S. patent applications may be eligible for limited patent term extension under the Drug Price Competition and Patent Term Restoration Action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If we encounter delays in our development efforts, including our clinical trials, the period of time during which we could market Auxora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w:t>
      </w:r>
    </w:p>
    <w:p>
      <w:pPr>
        <w:pStyle w:val="TextBody"/>
        <w:bidi w:val="0"/>
        <w:spacing w:before="120" w:after="283"/>
        <w:jc w:val="both"/>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than should otherwise have been the case, which would have a material adverse effect on our business, financial condition, results of operations, and prospects. </w:t>
      </w:r>
    </w:p>
    <w:p>
      <w:pPr>
        <w:pStyle w:val="TextBody"/>
        <w:bidi w:val="0"/>
        <w:spacing w:before="120" w:after="283"/>
        <w:jc w:val="both"/>
        <w:rPr>
          <w:rFonts w:ascii="Times New Roman" w:hAnsi="Times New Roman"/>
          <w:sz w:val="20"/>
        </w:rPr>
      </w:pPr>
      <w:r>
        <w:rPr>
          <w:rFonts w:ascii="Times New Roman" w:hAnsi="Times New Roman"/>
          <w:b/>
          <w:i/>
          <w:color w:val="000000"/>
          <w:sz w:val="20"/>
        </w:rPr>
        <w:t>Changes in U.S. patent law could diminish the value of patents in general, thereby impairing our ability to protect Auxora and future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The U.S. Supreme Court has ruled on several patent cases in recent years, either narrowing the scope of patent protection available in certain circumstances or weakening the rights of patent owners in certain situations. We cannot predict how decisions by the federal courts, the U.S. Congress or the USPTO may impact the value of our patent rights. For example, the Supreme Court of the United States held in Amgen v. Sanofi (2023) that a functionally claimed genus was invalid for failing to comply with the enablement requirement of the Patent Act. In addition, the Federal circuit recently issued a decision, In re Cellect, LLC (2023) involving the interaction of patent term adjustment (“PTA”), terminal disclaimers, and obvious-type double patenting which may affect the patent term of any issued patents that rely on any PTA. Other countries may likewise enact changes to their patent laws in ways that adversely diminish the scope of patent protection and weaken the rights of patent owners to obtain patents, enforce patent infringement, and obtain injunctions and/or damages.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inter partes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 In the 2013 case Assoc. for Molecular Pathology v. Myriad Genetics, Inc., for instance,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 For example, the Inflation Reduction Act (“IRA”) passed by Congress authorizes the Secretary of the Department of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whether it will affect our patent strategy in the long run.</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Patents are of national or regional effect. Filing, prosecuting, and defending patents on Auxora,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In Europe, beginning June 1, 2023, European applications and patent may be subjected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no precedent for the court, increasing the uncertainty. As a single court system can invalidate a European patent, we, where applicable may opt out of the UPC and as such, each European patent would need to be challenged in each individual country.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become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patent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conflicting obligations of third parties involved in developing Auxora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not be successful in obtaining or maintaining necessary rights to product components and processes for our development pipeline through acquisitions and in-licenses.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program may require the use of intellectual property rights held by third parties. The growth of our business may depend in part on our ability to acquire, in-license or use these proprietary rights. In addition, Auxora and future product candidates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Auxora.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Where we obtain licenses from or collaborate with third parties, we may not have the right to control the preparation, filing, and prosecution of patent applications, or to maintain the patents, covering technology that we license from third parties, or such activities, if controlled by us, may require the input of such third parties. Therefore, these patents and applications may not be prosecuted and enforced in a manner consistent with the best interests of our business, or in compliance with applicable laws and regulations, which may affect the validity and enforceability of such patents or any patents that may issue from such application.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Auxora and future product candidates. More established companies may have a competitive advantage over us due to their size, cash resources and greater clinical development and commercialization capabilities.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example, we may collaborate with U.S. and foreign academic institutions to accelerate our research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 </w:t>
      </w:r>
    </w:p>
    <w:p>
      <w:pPr>
        <w:pStyle w:val="TextBody"/>
        <w:bidi w:val="0"/>
        <w:spacing w:before="120" w:after="283"/>
        <w:jc w:val="both"/>
        <w:rPr>
          <w:rFonts w:ascii="Times New Roman" w:hAnsi="Times New Roman"/>
          <w:sz w:val="20"/>
        </w:rPr>
      </w:pPr>
      <w:r>
        <w:rPr>
          <w:rFonts w:ascii="Times New Roman" w:hAnsi="Times New Roman"/>
          <w:b/>
          <w:i/>
          <w:color w:val="000000"/>
          <w:sz w:val="20"/>
        </w:rPr>
        <w:t>Third-party claims alleging intellectual property infringement may prevent or delay our drug discovery and development efforts.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inter partes review, interference and reexamination proceedings before the USPTO, or oppositions and other comparable proceedings in foreign jurisdictions. The America Invents Act introduced new procedures including inter partes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 the fields in which we are developing Auxora. As the biotechnology and pharmaceutical industries expand and more patents are issued, the risk increases that our activities related to Auxora and future product candidates may give rise to claims of infringement of the patent rights of others.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Auxora.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Auxora. Because patent applications can take many years to issue and may be confidential for 18 months or more after filing, there may be currently pending third-party patent applications which may later result in issued patents that Auxora,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Auxora or future product candidates. Defense of these claims, regardless of their merit, could involve substantial expenses and could be a substantial diversion of management and other employee resources from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claims of patent infringement asserted by third parties would be time-consuming and could: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 in costly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cause development delays;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prevent us from commercializing Auxora or any future product candidates until the asserted patent expires or is finally held invalid, unenforceable, or not infringed in a court of law;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us to pay damages to the party whose intellectual property rights we may be found to be infringing, which may include treble damages if we are found to have been willfully infringing such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us to pay the attorney’s fees and costs of litigation to the party whose intellectual property rights we may be found to be willfully infringing; and/or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us to enter into royalty or license agreements, which may not be available on commercially reasonable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Auxora or any future product candidates to market and be precluded from developing, manufacturing or selling Auxora or any future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always conduct independent reviews of pending patent applications of and patents issued to third parties. We cannot be certain that any of our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patent applications in the United States may be maintained in secrecy until the patents are issued;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applications in the United States and elsewhere can be pending for many years before issuance, or unintentionally abandoned patents or applications can be revived;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pending patent applications that have been published can, subject to certain limitations, be later amended in a manner that could cover our technologies, Auxora, and any future product candidates or the use of Auxora and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applications in the United States are typically not published until 18 months after the priority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publications in the scientific literature often lag behind actual discoveries;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generative artificial intelligence (“AI”) resources that are publicly available also present a risk that a company may inadvertently obtain, incorporate or use a third party’s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competitors may have filed, and may in the future file, patent applications covering technology similar to ours, and others may have or obtain patents or proprietary rights that could limit our ability to make, use, sell, offer for sale or import Auxora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Auxora.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Auxora. We may fail to obtain any of these licenses at a reasonable cost or on reasonable terms, if at all. In that event, we would be unable to further develop and commercialize Auxora, which could harm our business significantly. Even if we were able to obtain a license, the rights may be nonexclusive, which may give our competitors access to the same intellectual property.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is common in the biotechnology and pharmaceutical industries, in addition to our employees, we engage the services of consultants to assist us in the development of Auxora,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be involved in lawsuits to protect or enforce our patents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 parties including competitors may infringe, misappropriate or otherwise violate our patents or patents that may issue to us in the future. To counter infringement or unauthorized use, we may need to or choose to file infringement claims, which can be expensive and time-consuming. We may not be able to prevent, infringement, misappropriation, or other violation of our intellectual property, particularly in countries where the laws may not protect those rights as fully as in the United States.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 candidate. Such a loss of patent protection would have a material adverse impact on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if a non-exclusive license is offered and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Auxora and any future product candidates to market.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 </w:t>
      </w:r>
    </w:p>
    <w:p>
      <w:pPr>
        <w:pStyle w:val="TextBody"/>
        <w:bidi w:val="0"/>
        <w:spacing w:before="120" w:after="283"/>
        <w:jc w:val="both"/>
        <w:rPr>
          <w:rFonts w:ascii="Times New Roman" w:hAnsi="Times New Roman"/>
          <w:sz w:val="20"/>
        </w:rPr>
      </w:pPr>
      <w:r>
        <w:rPr>
          <w:rFonts w:ascii="Times New Roman" w:hAnsi="Times New Roman"/>
          <w:b/>
          <w:i/>
          <w:color w:val="000000"/>
          <w:sz w:val="20"/>
        </w:rPr>
        <w:t>Because of the expense and uncertainty of litigation, we may not be in a position to enforce our intellectual property rights against third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t>
      </w:r>
    </w:p>
    <w:p>
      <w:pPr>
        <w:pStyle w:val="TextBody"/>
        <w:bidi w:val="0"/>
        <w:spacing w:before="120" w:after="283"/>
        <w:jc w:val="both"/>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any trade name we have proposed to use for products in the United States, such as Auxora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120" w:after="283"/>
        <w:jc w:val="both"/>
        <w:rPr>
          <w:rFonts w:ascii="Times New Roman" w:hAnsi="Times New Roman"/>
          <w:sz w:val="20"/>
        </w:rPr>
      </w:pPr>
      <w:r>
        <w:rPr>
          <w:rFonts w:ascii="Times New Roman" w:hAnsi="Times New Roman"/>
          <w:b/>
          <w:i/>
          <w:color w:val="000000"/>
          <w:sz w:val="20"/>
        </w:rPr>
        <w:t>Any collaboration arrangements that we may enter into in the future may not be successful, which could adversely affect our ability to develop and commercialize our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future collaborations that we enter into may not be successful. The success of our collaboration arrangements will depend heavily on the efforts and activities of our collaborators. Collaborations are subject to numerous risks, which may include that: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Auxora and any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could grant exclusive rights to our collaborators that would prevent us from collaborating with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12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operations subject us to disputes, claims and lawsuits, which may be costly and time-consuming and could materially and adversely impact our financial position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are involved in disputes, claims and lawsuits relating to our business operations. In particular, from time to time we face claims related to the safety of our products, intellectual property matters, employment matters, tax matters, commercial disputes, competition, sales and marketing practices, environmental matters, personal injury, insurance coverage and acquisition or divestiture-related matters. Any dispute, claim or lawsuit may divert management’s attention away from our business, we may incur significant expenses in addressing or defending any dispute, claim or lawsuit, and we may be required to pay damage awards or settlements or become subject to equitable remedies that could adversely affect our operations and financial results. For example, in April 2025, a stockholder of the Company filed a complaint against the Company and two directors demanding the return of such stockholder’s investment in the Company plus interest and attorneys’ fees. We intend to vigorously defend ourselves in this matter.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Regardless of merit, litigation related to these disputes may be costly and time-consuming and could materially and adversely impact our financial position and results of operations if resolved against us. In addition, the uncertainty associated with litigation could lead to increased volatility in our stock price.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maintain our listing on Nasdaq, it could become more difficult to sell our common stock in the public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continue to meet Nasdaq’s listing standards for any reason, our common stock could be delisted from Nasdaq. If delisted, we may seek to list our securities on a different stock exchange or, if one or more broker-dealer market makers comply with applicable requirements, the OTC. Listing on such other market or exchange could reduce the liquidity of our common stock. If our common stock were to trade in the OTC market, an investor would find it more difficult to dispose of, or to obtain accurate quotations for the price of, the common stock. On March 13, 2026, we received a notice from Nasdaq that we were not in compliance with Nasdaq’s Listing Rule 5550(b)(2) as the market value of listed securities (the “MVLS Requirement”) for our common stock had been below the minimum MVLS Requirement of $35,000,000 for the last 30 consecutive business days. Nasdaq also noted that the Company does not meet the requirements under Listing Rules 5550(b)(1) and 5550(b)(3). Under Nasdaq Listing Rule 5810(c)(3)(C), we have 180 calendar days following the date of the notice, or until September 9, 2026, to regain compliance. In addition, on March 16, 2026, we received a notice from Nasdaq that we were not in compliance with Nasdaq’s Listing Rule 5550(a)(2), as the minimum bid price of our common stock had been below $1.00 per share for 30 consecutive business days (the “Minimum Bid Price Requirement”). Under Nasdaq Listing Rule 5810(c)(3)(A), the Company has 180 calendar days following the date of the notice, or until September 14, 2026, to regain compliance with the Minimum Bid Price Requirement, which may be extended for an additional 180 days if, on the last day of the initial compliance period, we meet the market value of publicly held shares requirement for continued listing as well as all other standards for initial listing of our common stock on The Nasdaq Capital Market, with the exception of the Minimum Bid Price Requirement, and provide Nasdaq written notice of our intention to cure the bid price deficiency during the second compliance period. If we do not regain compliance within the appliable compliance periods, we expect that Nasdaq would provide notice that our securities are subject to delisting from The Nasdaq Capital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delisting from Nasdaq and failure to obtain listing on another market or exchange would subject our common stock to so-called penny stock rules that impose additional sales practice and market-making requirements on broker-dealers who sell or make a market in such securities. Consequently, removal from Nasdaq and failure to obtain listing on another market or exchange could affect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ability or willingness of broker-dealers to sell or make a market in our common stock and the ability of purchasers of our common stock to sell their securities in the secondary market.</w:t>
      </w:r>
    </w:p>
    <w:p>
      <w:pPr>
        <w:pStyle w:val="TextBody"/>
        <w:bidi w:val="0"/>
        <w:spacing w:before="120" w:after="283"/>
        <w:jc w:val="both"/>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the third parties with whom we share our facilities,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and produce hazardous waste products. We generally contract with third parties for the disposal of these materials and waste.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involves the use of hazardous materials and we and our third-party manufacturers and suppliers must comply with environmental laws and regulations, which can be expensive and restrict how we do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research and development activities and our or any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eliminate the risk of contamination, which could cause an interruption of our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this may not be the case or and we may not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adversely affect our business, financial condition, results of operations and prospects. </w:t>
      </w:r>
    </w:p>
    <w:p>
      <w:pPr>
        <w:pStyle w:val="TextBody"/>
        <w:bidi w:val="0"/>
        <w:spacing w:before="120" w:after="283"/>
        <w:jc w:val="both"/>
        <w:rPr>
          <w:rFonts w:ascii="Times New Roman" w:hAnsi="Times New Roman"/>
          <w:sz w:val="20"/>
        </w:rPr>
      </w:pPr>
      <w:r>
        <w:rPr>
          <w:rFonts w:ascii="Times New Roman" w:hAnsi="Times New Roman"/>
          <w:b/>
          <w:i/>
          <w:color w:val="000000"/>
          <w:sz w:val="20"/>
        </w:rPr>
        <w:t>Future changes in financial accounting standards or practices may cause adverse and unexpected revenue fluctuations and adversely affect our reported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w:t>
      </w:r>
    </w:p>
    <w:p>
      <w:pPr>
        <w:pStyle w:val="TextBody"/>
        <w:bidi w:val="0"/>
        <w:spacing w:before="120" w:after="283"/>
        <w:jc w:val="both"/>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and foreign anti-corruption, anti-money laundering, export control, sanctions, and other trade laws and regulations, including the U.S. Foreign Corrupt Practices Act (collectively, “Trade Laws”), prohibit, among other things,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market price of our stock has been and may continue to be volatile, and you could lose all or part of your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price of our common stock has been in the past, and may continue to be, highly volatile and subject to wide fluctuations in response to various factors, many of which we cannot control. Market prices for securities of early-stage pharmaceutical, biotechnology, and other life sciences companies have historically been particularly volatile. Some of the factors that may cause the market price of our common stock to fluctuate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regulatory approvals for product candidates, and delays or failures to obtain such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current, and any future, nonclinical or clinical trials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failure of any of our product candidates, if approved for marketing and commercialization, to achieve commercial success;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inability to obtain adequate supply of our product candidates or the inability to do so at acceptable prices;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entry into, or termination of, key agreements, including key licensing, supply or collaboration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initiation of material developments in, or conclusion of, disputes or litigation to enforce or defend any of our intellectual property rights or defend against the intellectual property rights of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or regulations applicable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commercial partners or competitors of new commercial products, clinical progress (or the lack thereof), significant contracts, commercial relationships,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meet or exceed financial and development projections we may provide to the public;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meet or exceed the financial and development projections of the investment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perception of the pharmaceutical industry by the public, legislatures, regulators and the investment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publicity relating to our markets, including with respect to other products and potential products in such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introduction of technological innovations or new therapies competing with our potential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of significant acquisitions, strategic collaborations, joint ventures or capital commitments by us or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loss of key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securities or industry analysts do not publish research or reports about our business, or if they issue an adverse or misleading opinion regarding our business and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industry-specific economic conditions potentially affecting our research and development expenditures;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our common stock by us or our stockholders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 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regulatory decisions;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trading volume of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period-to-period fluctuations in our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the stock markets in general have experienced substantial volatility that has often been unrelated to the operating performance of individual companies or the biotechnology and pharmaceutical sectors, including as a result of disruptions to and volatility in the credit and financial markets in the United States and worldwide from geopolitical and macroeconomic events, including the ongoing Russia-Ukraine and Middle East conflicts and related sanctions, bank failures and international tariffs. These broad market fluctuations may also adversely affect the trading price of our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Recent policy discussions have included potential targeted tariffs or other trade measures specifically aimed at pharmaceutical products and ingredients as part of broader healthcare cost control or national security initiatives.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Following that investigation, the President announced a proclamation which will impose 100% tariffs on certain patented pharmaceutical products and associated pharmaceutical ingredients. We are assessing the potential impact of the proclamation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and our principal suppliers of critical raw materials are located in China and Germany. The active pharmaceutical ingredients (“APIs”) for Auxora is manufactured in China, and our Auxora product candidate is manufactured in the United States. We also rely on specialized laboratory equipment, supplies, materials, and precursor compounds, all or part of which we believe may be ultimately sourced from multiple countries outside the United States, to advance our research and development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on Form 10-Q.</w:t>
      </w:r>
    </w:p>
    <w:p>
      <w:pPr>
        <w:pStyle w:val="TextBody"/>
        <w:bidi w:val="0"/>
        <w:spacing w:before="120" w:after="283"/>
        <w:jc w:val="both"/>
        <w:rPr>
          <w:rFonts w:ascii="Times New Roman" w:hAnsi="Times New Roman"/>
          <w:sz w:val="20"/>
        </w:rPr>
      </w:pPr>
      <w:r>
        <w:rPr>
          <w:rFonts w:ascii="Times New Roman" w:hAnsi="Times New Roman"/>
          <w:b/>
          <w:i/>
          <w:color w:val="000000"/>
          <w:sz w:val="20"/>
        </w:rPr>
        <w:t>Financial reporting obligations of being a public company in the United States are expensive and time-consuming, and our management needs to devote substantial time to compliance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publicly traded company, we incur significant additional legal, accounting and other expenses, including costs associated with public company reporting requirements. The obligations of being a public company in the United States require significant expenditures and will place significant demands on our management and other personnel, including costs resulting from public company reporting obligations under the Securities Exchange Act of 1934, as amended (the “Exchange Act”) and the rules and regulations regarding corporate governance practices, including those under the Sarbanes-Oxley Act of 2002 (the “Sarbanes-Oxley Act”), the Dodd-Frank Wall Street Reform and Consumer Protection Act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In addition, we expect these rules and regulations to make it more difficult and more expensive for us to obtain director and officer liability insurance and we may be required to incur substantial costs to maintain such insurance. Moreover, despite recent reforms made possible by the JOBS Act, the reporting requirements, rules and regulations will make some activities more time-consuming and costly, particularly after we are no longer a “smaller reporting company”. Our management and other personnel will need to devote a substantial amount of time to ensure that we comply with all of these requirements and to keep pace with new regulations, otherwise we may fall out of compliance and risk becoming subject to litigation, among other potential problems. Our management and other personnel will need to devote a substantial amount of time to ensure that we comply with all of these requirements and to keep pace with new regulations, otherwise we may fall out of compliance and risk becoming subject to litigation, among other potential problems.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relative lack of public company experience of our management team may put us at a competitive disadvantage.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team lacks significant public company experience, which could impair our ability to comply with legal and regulatory requirements such as, but not limited to, those imposed by the Sarbanes-Oxley Act. Our senior management does not have significant experience managing a publicly traded company. Such responsibilities include complying with federal securities laws and making required disclosures on a timely basis. Our senior management may be unable to implement programs and policies in an effective and timely manner or that adequately respond to the increased legal, regulatory and reporting requirements associated with being a publicly traded company. Our failure to comply with all applicable requirements could lead to the imposition of fines and penalties, distract our management from attending to the management and growth of our business, result in a loss of investor confidence in our financial reports and have an adverse effect on our business and stock price.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Substantial future sales of shares of our common stock could adversely affect the market price of such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existing stockholders sell, or indicate an intention to sell, substantial amounts of our common stock in the public market, or there is the perception that these sales could occur, this could adversely affect the market price of such shares and could materially impair our ability to raise capital through equity offerings in the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predict what effect, if any, sales of our shares in the public market or the availability of shares for sale would have on the market price of our common stock. However, future sales of substantial amounts of our common stock in the public market, including shares issued upon exercise of outstanding options or warrants, or the perception that such sales may occur, could adversely affect the market price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beneficial ownership of our common stock as of March 31, 2026, our executive officers, directors and holders of 5% or more of our capital stock and their respective affiliates beneficially owned a significant percentage of our voting stock. As a result, these stockholders, if continuing to act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We are a smaller reporting company. We cannot be certain whether the reduced disclosure requirements applicable to smaller reporting companies will make our common stock less attractive to investors or otherwise limit our ability to raise additional funds.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“smaller reporting company” under applicable securities regulations. A smaller reporting company is a company that, as of the last business day of its most recently completed fiscal quarter, has an aggregate market value of the company’s voting stock held by non-affiliates, or public float, of less than $250 million, or has annual revenues less than $100 million and either no public float or public float less than $750 million. SEC rules provide that companies with a non-affiliate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$70 million, and has certain other reduced disclosure obligations in their SEC filings, including, among other things, only being required to provide two years of audited financial statements in annual reports. Reduced disclosure in our SEC filings due to our status as a smaller reporting company may make it harder for investors to analyze its results of operations and financial prospects.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Because we do not anticipate paying any cash dividends on our capital stock in the foreseeable future, capital appreciation, if any, will be your sole source of gain.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 </w:t>
      </w:r>
    </w:p>
    <w:p>
      <w:pPr>
        <w:pStyle w:val="TextBody"/>
        <w:bidi w:val="0"/>
        <w:spacing w:before="120" w:after="283"/>
        <w:jc w:val="both"/>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industry or equity research analysts publish about us and our business. Equity research analysts may elect not to provide research coverage of our common stock after the completion of the merger,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its stock price or trading volume to decline. </w:t>
      </w:r>
    </w:p>
    <w:p>
      <w:pPr>
        <w:pStyle w:val="TextBody"/>
        <w:bidi w:val="0"/>
        <w:spacing w:before="120" w:after="283"/>
        <w:jc w:val="both"/>
        <w:rPr>
          <w:rFonts w:ascii="Times New Roman" w:hAnsi="Times New Roman"/>
          <w:sz w:val="20"/>
        </w:rPr>
      </w:pPr>
      <w:r>
        <w:rPr>
          <w:rFonts w:ascii="Times New Roman" w:hAnsi="Times New Roman"/>
          <w:b/>
          <w:i/>
          <w:color w:val="000000"/>
          <w:sz w:val="20"/>
        </w:rPr>
        <w:t>Anti-takeover provisions in our charter documents and under Delaware law could make an acquisition of us more difficult and may prevent attempts by our stockholders to replace or remove our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General Corporation Law of the State of Delaware (the “DGCL”), which prohibits stockholders owning in excess of 15% of our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our Board of Directors, which is responsible for appointing the members of management. </w:t>
      </w:r>
    </w:p>
    <w:p>
      <w:pPr>
        <w:pStyle w:val="TextBody"/>
        <w:bidi w:val="0"/>
        <w:spacing w:before="120" w:after="283"/>
        <w:jc w:val="both"/>
        <w:rPr>
          <w:rFonts w:ascii="Times New Roman" w:hAnsi="Times New Roman"/>
          <w:sz w:val="20"/>
        </w:rPr>
      </w:pPr>
      <w:r>
        <w:rPr>
          <w:rFonts w:ascii="Times New Roman" w:hAnsi="Times New Roman"/>
          <w:b/>
          <w:i/>
          <w:color w:val="00000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amended and restated bylaws provide that the Court of Chancery of the State of Delaware (or, if the Court of Chancery of the State of Delaware does not have jurisdiction, the federal district court for the District of Delaware) is the sole and exclusive forum for any state law claims for (a) any derivative action or proceeding brought on behalf of us; (b) any action asserting a claim of breach of a fiduciary duty owed by, or other wrongdoing by, any of our directors, officers, stockholders, employees or agents to us or our stockholders; (c) any action asserting a claim against us or any of our directors, officers, stockholders, employees or agents arising pursuant to any provision of the DGCL, the certificate of incorporation or the bylaws or as to which the DGCL confers jurisdiction on the Court of Chancery of the State of Delaware; (d) any action to interpret, apply, enforce or determine the validity of the certificate of incorporation or the bylaws; or (e) any action asserting a claim against us or any of our directors, officers, stockholders, employees or agents governed by the internal affairs doctrine; </w:t>
      </w:r>
      <w:r>
        <w:rPr>
          <w:rFonts w:ascii="Times New Roman" w:hAnsi="Times New Roman"/>
          <w:i/>
          <w:color w:val="000000"/>
          <w:sz w:val="20"/>
        </w:rPr>
        <w:t>provided</w:t>
      </w:r>
      <w:r>
        <w:rPr>
          <w:rFonts w:ascii="Times New Roman" w:hAnsi="Times New Roman"/>
          <w:color w:val="000000"/>
          <w:sz w:val="20"/>
        </w:rPr>
        <w:t xml:space="preserve">, that these choice of forum provisions do not apply to suits brought to enforce a duty or liability created by the Securities Act, the Exchange Act, or any other claim for which the federal courts have exclusive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jurisdiction. Furthermore, Section 22 of the Securities Act creates concurrent jurisdiction for federal and state courts over all such Securities Act actions. The amended and restated bylaws will provide that the federal district courts will be the exclusive forum for resolving any complaint asserting a cause of action arising under the Securities Act. The choice of forum provision may make it more expensive for stockholders to bring a claim than if the stockholders were permitted to select another jurisdiction and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 </w:t>
      </w:r>
    </w:p>
    <w:p>
      <w:pPr>
        <w:pStyle w:val="TextBody"/>
        <w:bidi w:val="0"/>
        <w:spacing w:before="120" w:after="283"/>
        <w:jc w:val="both"/>
        <w:rPr>
          <w:rFonts w:ascii="Times New Roman" w:hAnsi="Times New Roman"/>
          <w:sz w:val="20"/>
        </w:rPr>
      </w:pPr>
      <w:r>
        <w:rPr>
          <w:rFonts w:ascii="Times New Roman" w:hAnsi="Times New Roman"/>
          <w:b/>
          <w:i/>
          <w:color w:val="000000"/>
          <w:sz w:val="20"/>
        </w:rPr>
        <w:t>Unfavorable global economic conditions could adversely affect our business, financial condition or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or services. Any of the foregoing could harm our business and we cannot anticipate all of the ways in which the current economic climate and financial market conditions could adversely impact our business.</w:t>
      </w:r>
    </w:p>
    <w:p>
      <w:pPr>
        <w:pStyle w:val="TextBody"/>
        <w:bidi w:val="0"/>
        <w:jc w:val="both"/>
        <w:rPr/>
      </w:pPr>
      <w:r>
        <w:rPr/>
        <w:t> </w:t>
      </w:r>
    </w:p>
    <w:p>
      <w:pPr>
        <w:pStyle w:val="TextBody"/>
        <w:bidi w:val="0"/>
        <w:jc w:val="both"/>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both"/>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fiscal quarter ended March 31, 2026, none of our directors and/or officers (as defined in Rule 16a-1(f) under the Exchange Act) adopted or terminated a “Rule 10b5-1 trading arrangement” or “non-Rule 10b5-1 trading arrangement,” as those terms are defined in Regulation S-K, Item 408.</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428"/>
        <w:gridCol w:w="146"/>
        <w:gridCol w:w="529"/>
        <w:gridCol w:w="146"/>
        <w:gridCol w:w="849"/>
        <w:gridCol w:w="146"/>
        <w:gridCol w:w="1192"/>
        <w:gridCol w:w="146"/>
        <w:gridCol w:w="631"/>
        <w:gridCol w:w="146"/>
        <w:gridCol w:w="994"/>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4"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2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dated March 20, 2023 to 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Restated Bylaws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12, 2020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Reference is made to Exhibits </w:t>
            </w:r>
            <w:hyperlink r:id="rId5">
              <w:r>
                <w:rPr>
                  <w:rStyle w:val="InternetLink"/>
                  <w:rFonts w:ascii="Times New Roman" w:hAnsi="Times New Roman"/>
                  <w:color w:val="0000FF"/>
                  <w:sz w:val="20"/>
                  <w:u w:val="single"/>
                </w:rPr>
                <w:t>3.1</w:t>
              </w:r>
            </w:hyperlink>
            <w:r>
              <w:rPr>
                <w:rFonts w:ascii="Times New Roman" w:hAnsi="Times New Roman"/>
                <w:color w:val="000000"/>
                <w:sz w:val="20"/>
              </w:rPr>
              <w:t xml:space="preserve">, </w:t>
            </w:r>
            <w:hyperlink r:id="rId6">
              <w:r>
                <w:rPr>
                  <w:rStyle w:val="InternetLink"/>
                  <w:rFonts w:ascii="Times New Roman" w:hAnsi="Times New Roman"/>
                  <w:color w:val="0000FF"/>
                  <w:sz w:val="20"/>
                  <w:u w:val="single"/>
                </w:rPr>
                <w:t>3.2</w:t>
              </w:r>
            </w:hyperlink>
            <w:r>
              <w:rPr>
                <w:rFonts w:ascii="Times New Roman" w:hAnsi="Times New Roman"/>
                <w:color w:val="000000"/>
                <w:sz w:val="20"/>
              </w:rPr>
              <w:t xml:space="preserve"> and </w:t>
            </w:r>
            <w:hyperlink r:id="rId7">
              <w:r>
                <w:rPr>
                  <w:rStyle w:val="InternetLink"/>
                  <w:rFonts w:ascii="Times New Roman" w:hAnsi="Times New Roman"/>
                  <w:color w:val="0000FF"/>
                  <w:sz w:val="20"/>
                  <w:u w:val="single"/>
                </w:rPr>
                <w:t>3.3</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333-248611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21, 2020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Registration Rights Agreement, dated November 21, 2022, by and among CalciMedica, Inc. and the several purchasers signatory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Registration Rights Agreement by and among CalciMedica, Inc. and the persons party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24,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Warrant to Purchase Common Stock dated as of December 11, 2019, by and between the Registrant and SG Dan Equity Holdings,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333-248611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4, 2020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Warrant to Purchase Shares of Series D Convertible Preferred Stock of CalciMedica, Inc</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Warrant to Purchase Common Stock dated as of November 9, 2020, issued by the Registrant to SG Dan Equity Holdings,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Warrant to Purchase Common Stock, dated as of October 18, 2022, issued by CalciMedica, Inc. to SG Dan Equity Holdings,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Warrant to Purchase Common Stock, dated as of October 18, 2022, issued by CalciMedica, Inc. to Eric Roberts.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Warrant to Purchase Common Stock, dated as of October 25,2022, issued by CalciMedica, Inc. to Fred Middleton.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Warrant to Purchase Shares of Series B Convertible Preferred Stock of CalciMedica,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333-271115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4,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Tranche B Common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24,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Placement Agent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24,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0"/>
        <w:gridCol w:w="146"/>
        <w:gridCol w:w="4893"/>
        <w:gridCol w:w="146"/>
        <w:gridCol w:w="511"/>
        <w:gridCol w:w="146"/>
        <w:gridCol w:w="718"/>
        <w:gridCol w:w="146"/>
        <w:gridCol w:w="869"/>
        <w:gridCol w:w="146"/>
        <w:gridCol w:w="631"/>
        <w:gridCol w:w="146"/>
        <w:gridCol w:w="967"/>
      </w:tblGrid>
      <w:tr>
        <w:trPr/>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9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7" w:type="dxa"/>
            <w:tcBorders/>
            <w:shd w:fill="FFFFFF" w:val="clear"/>
            <w:vAlign w:val="center"/>
          </w:tcPr>
          <w:p>
            <w:pPr>
              <w:pStyle w:val="TableContents"/>
              <w:bidi w:val="0"/>
              <w:spacing w:before="0" w:after="283"/>
              <w:jc w:val="left"/>
              <w:rPr>
                <w:sz w:val="4"/>
                <w:szCs w:val="4"/>
              </w:rPr>
            </w:pPr>
            <w:r>
              <w:rPr>
                <w:sz w:val="4"/>
                <w:szCs w:val="4"/>
              </w:rPr>
            </w:r>
          </w:p>
        </w:tc>
      </w:tr>
      <w:tr>
        <w:trPr/>
        <w:tc>
          <w:tcPr>
            <w:tcW w:w="74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9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Warrant to Purchase Common Stock, dated as of May 17, 2024, issued by the Registrant to SG Dan Equity Holdings,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Warrant to Purchase Shares of Stock of CalciMedica, Inc. dated February 28, 2025, by and between CalciMedica, Inc. and Avenue Venture Opportunities Fund II, LP.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pPr>
            <w:hyperlink w:anchor="ck0001534133-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pPr>
            <w:hyperlink w:anchor="ck0001534133-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pPr>
            <w:hyperlink w:anchor="ck0001534133-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pPr>
            <w:hyperlink w:anchor="ck0001534133-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of the Exchange Act.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 unto duly authorized.</w:t>
      </w:r>
    </w:p>
    <w:p>
      <w:pPr>
        <w:pStyle w:val="TextBody"/>
        <w:bidi w:val="0"/>
        <w:spacing w:before="120" w:after="283"/>
        <w:jc w:val="left"/>
        <w:rPr/>
      </w:pPr>
      <w:r>
        <w:rPr/>
        <w:t> </w:t>
      </w:r>
    </w:p>
    <w:tbl>
      <w:tblPr>
        <w:tblW w:w="6187" w:type="dxa"/>
        <w:jc w:val="left"/>
        <w:tblInd w:w="0" w:type="dxa"/>
        <w:tblLayout w:type="fixed"/>
        <w:tblCellMar>
          <w:top w:w="28" w:type="dxa"/>
          <w:left w:w="28" w:type="dxa"/>
          <w:bottom w:w="28" w:type="dxa"/>
          <w:right w:w="28" w:type="dxa"/>
        </w:tblCellMar>
      </w:tblPr>
      <w:tblGrid>
        <w:gridCol w:w="1741"/>
        <w:gridCol w:w="109"/>
        <w:gridCol w:w="406"/>
        <w:gridCol w:w="39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CALCIMEDICA,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A. Rachel Leheny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 Rachel Leheny, Ph.D.</w:t>
            </w:r>
            <w:r>
              <w:rPr>
                <w:rFonts w:ascii="Times New Roman" w:hAnsi="Times New Roman"/>
                <w:color w:val="000000"/>
                <w:sz w:val="20"/>
              </w:rPr>
              <w:t xml:space="preserve">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Bardin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Bardin, MBA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bookmarkStart w:id="22" w:name="ck0001534133-ex31_1.htm"/>
      <w:bookmarkStart w:id="23" w:name="ksck0001534133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OR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A. Rachel Leheny,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CalciMedica,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43" w:type="dxa"/>
        <w:jc w:val="left"/>
        <w:tblInd w:w="0" w:type="dxa"/>
        <w:tblLayout w:type="fixed"/>
        <w:tblCellMar>
          <w:top w:w="28" w:type="dxa"/>
          <w:left w:w="28" w:type="dxa"/>
          <w:bottom w:w="28" w:type="dxa"/>
          <w:right w:w="28" w:type="dxa"/>
        </w:tblCellMar>
      </w:tblPr>
      <w:tblGrid>
        <w:gridCol w:w="1741"/>
        <w:gridCol w:w="406"/>
        <w:gridCol w:w="259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 Rachel Leheny</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 Rachel Leheny, Ph.D.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ck0001534133-ex31_2.htm"/>
      <w:bookmarkStart w:id="25" w:name="ksck0001534133ex31_2"/>
      <w:bookmarkEnd w:id="24"/>
      <w:bookmarkEnd w:id="25"/>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OR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Stephen Bardin,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CalciMedica,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78" w:type="dxa"/>
        <w:jc w:val="left"/>
        <w:tblInd w:w="0" w:type="dxa"/>
        <w:tblLayout w:type="fixed"/>
        <w:tblCellMar>
          <w:top w:w="28" w:type="dxa"/>
          <w:left w:w="28" w:type="dxa"/>
          <w:bottom w:w="28" w:type="dxa"/>
          <w:right w:w="28" w:type="dxa"/>
        </w:tblCellMar>
      </w:tblPr>
      <w:tblGrid>
        <w:gridCol w:w="1741"/>
        <w:gridCol w:w="406"/>
        <w:gridCol w:w="393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Bardin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Bardin, MBA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ck0001534133-ex32_1.htm"/>
      <w:bookmarkStart w:id="27" w:name="ksck0001534133ex32_1"/>
      <w:bookmarkEnd w:id="26"/>
      <w:bookmarkEnd w:id="27"/>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CalciMedica, Inc. (the “Company”) on Form 10-Q for the fiscal quarter ended March 31, 2026 as filed with the Securities and Exchange Commission on the date hereof (the “Report”), I certify, pursuant to the requirement set forth in Rule 13a-14(b) of the Securities Exchange Act of 1934, as amended (the “Exchange Act”) and 18 U.S.C. § 1350, as adopted pursuant to § 906 of the Sarbanes-Oxley Act of 2002, that to the best of my knowledge:</w:t>
      </w:r>
    </w:p>
    <w:tbl>
      <w:tblPr>
        <w:tblW w:w="10205" w:type="dxa"/>
        <w:jc w:val="left"/>
        <w:tblInd w:w="0" w:type="dxa"/>
        <w:tblLayout w:type="fixed"/>
        <w:tblCellMar>
          <w:top w:w="28" w:type="dxa"/>
          <w:left w:w="28" w:type="dxa"/>
          <w:bottom w:w="28" w:type="dxa"/>
          <w:right w:w="28" w:type="dxa"/>
        </w:tblCellMar>
      </w:tblPr>
      <w:tblGrid>
        <w:gridCol w:w="519"/>
        <w:gridCol w:w="874"/>
        <w:gridCol w:w="1238"/>
        <w:gridCol w:w="7574"/>
      </w:tblGrid>
      <w:tr>
        <w:trPr/>
        <w:tc>
          <w:tcPr>
            <w:tcW w:w="51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7574" w:type="dxa"/>
            <w:tcBorders/>
            <w:vAlign w:val="center"/>
          </w:tcPr>
          <w:p>
            <w:pPr>
              <w:pStyle w:val="TableContents"/>
              <w:bidi w:val="0"/>
              <w:spacing w:before="0" w:after="283"/>
              <w:jc w:val="left"/>
              <w:rPr>
                <w:sz w:val="4"/>
                <w:szCs w:val="4"/>
              </w:rPr>
            </w:pPr>
            <w:r>
              <w:rPr>
                <w:sz w:val="4"/>
                <w:szCs w:val="4"/>
              </w:rPr>
            </w:r>
          </w:p>
        </w:tc>
      </w:tr>
      <w:tr>
        <w:trPr/>
        <w:tc>
          <w:tcPr>
            <w:tcW w:w="519" w:type="dxa"/>
            <w:tcBorders/>
            <w:tcMar>
              <w:top w:w="0" w:type="dxa"/>
              <w:left w:w="0" w:type="dxa"/>
              <w:bottom w:w="0" w:type="dxa"/>
              <w:right w:w="0" w:type="dxa"/>
            </w:tcMar>
            <w:vAlign w:val="center"/>
          </w:tcPr>
          <w:p>
            <w:pPr>
              <w:pStyle w:val="TableContents"/>
              <w:bidi w:val="0"/>
              <w:spacing w:before="240" w:after="283"/>
              <w:jc w:val="left"/>
              <w:rPr/>
            </w:pPr>
            <w:r>
              <w:rPr/>
              <w:t> </w:t>
            </w:r>
          </w:p>
        </w:tc>
        <w:tc>
          <w:tcPr>
            <w:tcW w:w="87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8812" w:type="dxa"/>
            <w:gridSpan w:val="2"/>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Exchange Act; and</w:t>
            </w:r>
          </w:p>
        </w:tc>
      </w:tr>
      <w:tr>
        <w:trPr/>
        <w:tc>
          <w:tcPr>
            <w:tcW w:w="519" w:type="dxa"/>
            <w:tcBorders/>
            <w:tcMar>
              <w:top w:w="0" w:type="dxa"/>
              <w:left w:w="0" w:type="dxa"/>
              <w:bottom w:w="0" w:type="dxa"/>
              <w:right w:w="0" w:type="dxa"/>
            </w:tcMar>
            <w:vAlign w:val="center"/>
          </w:tcPr>
          <w:p>
            <w:pPr>
              <w:pStyle w:val="TableContents"/>
              <w:bidi w:val="0"/>
              <w:spacing w:before="240" w:after="283"/>
              <w:jc w:val="left"/>
              <w:rPr/>
            </w:pPr>
            <w:r>
              <w:rPr/>
              <w:t> </w:t>
            </w:r>
          </w:p>
        </w:tc>
        <w:tc>
          <w:tcPr>
            <w:tcW w:w="87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8812" w:type="dxa"/>
            <w:gridSpan w:val="2"/>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r>
        <w:trPr/>
        <w:tc>
          <w:tcPr>
            <w:tcW w:w="1393" w:type="dxa"/>
            <w:gridSpan w:val="2"/>
            <w:tcBorders>
              <w:bottom w:val="single" w:sz="6" w:space="0" w:color="FFFFFF"/>
            </w:tcBorders>
            <w:shd w:fill="FFFFFF" w:val="clear"/>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238" w:type="dxa"/>
            <w:tcBorders>
              <w:bottom w:val="single" w:sz="6" w:space="0" w:color="FFFFFF"/>
            </w:tcBorders>
            <w:shd w:fill="FFFFFF" w:val="clear"/>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574"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A. Rachel Leheny </w:t>
            </w:r>
          </w:p>
        </w:tc>
      </w:tr>
      <w:tr>
        <w:trPr/>
        <w:tc>
          <w:tcPr>
            <w:tcW w:w="13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A. Rachel Leheny, Ph.D.</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3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ck0001534133-ex32_2.htm"/>
      <w:bookmarkStart w:id="29" w:name="ksck0001534133ex32_2"/>
      <w:bookmarkEnd w:id="28"/>
      <w:bookmarkEnd w:id="29"/>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CalciMedica, Inc. (the “Company”) on Form 10-Q for the fiscal quarter ended March 31, 2026 as filed with the Securities and Exchange Commission on the date hereof (the “Report”), I certify, pursuant to the requirement set forth in Rule 13a-14(b) of the Securities Exchange Act of 1934, as amended (the “Exchange Act”) and 18 U.S.C. § 1350, as adopted pursuant to § 906 of the Sarbanes-Oxley Act of 2002, that to the best of my knowledge:</w:t>
      </w:r>
    </w:p>
    <w:tbl>
      <w:tblPr>
        <w:tblW w:w="10205" w:type="dxa"/>
        <w:jc w:val="left"/>
        <w:tblInd w:w="0" w:type="dxa"/>
        <w:tblLayout w:type="fixed"/>
        <w:tblCellMar>
          <w:top w:w="28" w:type="dxa"/>
          <w:left w:w="28" w:type="dxa"/>
          <w:bottom w:w="28" w:type="dxa"/>
          <w:right w:w="28" w:type="dxa"/>
        </w:tblCellMar>
      </w:tblPr>
      <w:tblGrid>
        <w:gridCol w:w="517"/>
        <w:gridCol w:w="872"/>
        <w:gridCol w:w="886"/>
        <w:gridCol w:w="7930"/>
      </w:tblGrid>
      <w:tr>
        <w:trPr/>
        <w:tc>
          <w:tcPr>
            <w:tcW w:w="51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930" w:type="dxa"/>
            <w:tcBorders/>
            <w:vAlign w:val="center"/>
          </w:tcPr>
          <w:p>
            <w:pPr>
              <w:pStyle w:val="TableContents"/>
              <w:bidi w:val="0"/>
              <w:spacing w:before="0" w:after="283"/>
              <w:jc w:val="left"/>
              <w:rPr>
                <w:sz w:val="4"/>
                <w:szCs w:val="4"/>
              </w:rPr>
            </w:pPr>
            <w:r>
              <w:rPr>
                <w:sz w:val="4"/>
                <w:szCs w:val="4"/>
              </w:rPr>
            </w:r>
          </w:p>
        </w:tc>
      </w:tr>
      <w:tr>
        <w:trPr/>
        <w:tc>
          <w:tcPr>
            <w:tcW w:w="517" w:type="dxa"/>
            <w:tcBorders/>
            <w:tcMar>
              <w:top w:w="0" w:type="dxa"/>
              <w:left w:w="0" w:type="dxa"/>
              <w:bottom w:w="0" w:type="dxa"/>
              <w:right w:w="0" w:type="dxa"/>
            </w:tcMar>
            <w:vAlign w:val="center"/>
          </w:tcPr>
          <w:p>
            <w:pPr>
              <w:pStyle w:val="TableContents"/>
              <w:bidi w:val="0"/>
              <w:spacing w:before="240" w:after="283"/>
              <w:jc w:val="left"/>
              <w:rPr/>
            </w:pPr>
            <w:r>
              <w:rPr/>
              <w:t> </w:t>
            </w:r>
          </w:p>
        </w:tc>
        <w:tc>
          <w:tcPr>
            <w:tcW w:w="87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8816" w:type="dxa"/>
            <w:gridSpan w:val="2"/>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Exchange Act; and</w:t>
            </w:r>
          </w:p>
        </w:tc>
      </w:tr>
      <w:tr>
        <w:trPr/>
        <w:tc>
          <w:tcPr>
            <w:tcW w:w="517" w:type="dxa"/>
            <w:tcBorders/>
            <w:tcMar>
              <w:top w:w="0" w:type="dxa"/>
              <w:left w:w="0" w:type="dxa"/>
              <w:bottom w:w="0" w:type="dxa"/>
              <w:right w:w="0" w:type="dxa"/>
            </w:tcMar>
            <w:vAlign w:val="center"/>
          </w:tcPr>
          <w:p>
            <w:pPr>
              <w:pStyle w:val="TableContents"/>
              <w:bidi w:val="0"/>
              <w:spacing w:before="240" w:after="283"/>
              <w:jc w:val="left"/>
              <w:rPr/>
            </w:pPr>
            <w:r>
              <w:rPr/>
              <w:t> </w:t>
            </w:r>
          </w:p>
        </w:tc>
        <w:tc>
          <w:tcPr>
            <w:tcW w:w="87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8816" w:type="dxa"/>
            <w:gridSpan w:val="2"/>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r>
        <w:trPr/>
        <w:tc>
          <w:tcPr>
            <w:tcW w:w="1389" w:type="dxa"/>
            <w:gridSpan w:val="2"/>
            <w:tcBorders>
              <w:bottom w:val="single" w:sz="6" w:space="0" w:color="FFFFFF"/>
            </w:tcBorders>
            <w:shd w:fill="FFFFFF" w:val="clear"/>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886" w:type="dxa"/>
            <w:tcBorders>
              <w:bottom w:val="single" w:sz="6" w:space="0" w:color="FFFFFF"/>
            </w:tcBorders>
            <w:shd w:fill="FFFFFF" w:val="clear"/>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930"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Bardin</w:t>
            </w:r>
          </w:p>
        </w:tc>
      </w:tr>
      <w:tr>
        <w:trPr/>
        <w:tc>
          <w:tcPr>
            <w:tcW w:w="1389"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Bardin, MBA</w:t>
            </w:r>
          </w:p>
        </w:tc>
      </w:tr>
      <w:tr>
        <w:trPr/>
        <w:tc>
          <w:tcPr>
            <w:tcW w:w="1389"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4133/000119312523076714/d485425dex31.htm" TargetMode="External"/><Relationship Id="rId3" Type="http://schemas.openxmlformats.org/officeDocument/2006/relationships/hyperlink" Target="https://www.sec.gov/Archives/edgar/data/1534133/000119312523076714/d485425dex32.htm" TargetMode="External"/><Relationship Id="rId4" Type="http://schemas.openxmlformats.org/officeDocument/2006/relationships/hyperlink" Target="https://www.sec.gov/Archives/edgar/data/1534133/000156459020053539/gray-ex32_105.htm" TargetMode="External"/><Relationship Id="rId5" Type="http://schemas.openxmlformats.org/officeDocument/2006/relationships/hyperlink" Target="https://www.sec.gov/Archives/edgar/data/1534133/000119312523076714/d485425dex31.htm" TargetMode="External"/><Relationship Id="rId6" Type="http://schemas.openxmlformats.org/officeDocument/2006/relationships/hyperlink" Target="https://www.sec.gov/Archives/edgar/data/1534133/000119312523076714/d485425dex32.htm" TargetMode="External"/><Relationship Id="rId7" Type="http://schemas.openxmlformats.org/officeDocument/2006/relationships/hyperlink" Target="https://www.sec.gov/Archives/edgar/data/1534133/000156459020053539/gray-ex32_105.htm" TargetMode="External"/><Relationship Id="rId8" Type="http://schemas.openxmlformats.org/officeDocument/2006/relationships/hyperlink" Target="https://www.sec.gov/Archives/edgar/data/1534133/000119312520249556/d796801dex41.htm" TargetMode="External"/><Relationship Id="rId9" Type="http://schemas.openxmlformats.org/officeDocument/2006/relationships/hyperlink" Target="https://www.sec.gov/Archives/edgar/data/1534133/000119312523076714/d485425dex41.htm" TargetMode="External"/><Relationship Id="rId10" Type="http://schemas.openxmlformats.org/officeDocument/2006/relationships/hyperlink" Target="https://www.sec.gov/Archives/edgar/data/1534133/000119312524011738/d738337dex102.htm" TargetMode="External"/><Relationship Id="rId11" Type="http://schemas.openxmlformats.org/officeDocument/2006/relationships/hyperlink" Target="https://www.sec.gov/Archives/edgar/data/1534133/000119312520240042/d796801dex43.htm" TargetMode="External"/><Relationship Id="rId12" Type="http://schemas.openxmlformats.org/officeDocument/2006/relationships/hyperlink" Target="https://www.sec.gov/Archives/edgar/data/1534133/000119312523076714/d485425dex42.htm" TargetMode="External"/><Relationship Id="rId13" Type="http://schemas.openxmlformats.org/officeDocument/2006/relationships/hyperlink" Target="https://www.sec.gov/Archives/edgar/data/1534133/000119312523076714/d485425dex43.htm" TargetMode="External"/><Relationship Id="rId14" Type="http://schemas.openxmlformats.org/officeDocument/2006/relationships/hyperlink" Target="https://www.sec.gov/Archives/edgar/data/1534133/000119312523076714/d485425dex44.htm" TargetMode="External"/><Relationship Id="rId15" Type="http://schemas.openxmlformats.org/officeDocument/2006/relationships/hyperlink" Target="https://www.sec.gov/Archives/edgar/data/1534133/000119312523076714/d485425dex45.htm" TargetMode="External"/><Relationship Id="rId16" Type="http://schemas.openxmlformats.org/officeDocument/2006/relationships/hyperlink" Target="https://www.sec.gov/Archives/edgar/data/1534133/000119312523076714/d485425dex46.htm" TargetMode="External"/><Relationship Id="rId17" Type="http://schemas.openxmlformats.org/officeDocument/2006/relationships/hyperlink" Target="https://www.sec.gov/Archives/edgar/data/1534133/000119312523090982/d482049dex49.htm" TargetMode="External"/><Relationship Id="rId18" Type="http://schemas.openxmlformats.org/officeDocument/2006/relationships/hyperlink" Target="https://www.sec.gov/Archives/edgar/data/1534133/000119312524011738/d738337dex42.htm" TargetMode="External"/><Relationship Id="rId19" Type="http://schemas.openxmlformats.org/officeDocument/2006/relationships/hyperlink" Target="https://www.sec.gov/Archives/edgar/data/1534133/000119312524011738/d738337dex44.htm" TargetMode="External"/><Relationship Id="rId20" Type="http://schemas.openxmlformats.org/officeDocument/2006/relationships/hyperlink" Target="https://www.sec.gov/Archives/edgar/data/1534133/000095017024095490/ck0001534133-ex4_16.htm" TargetMode="External"/><Relationship Id="rId21" Type="http://schemas.openxmlformats.org/officeDocument/2006/relationships/hyperlink" Target="https://www.sec.gov/Archives/edgar/data/1534133/000119312525046225/d940326dex41.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66791</Words>
  <Characters>372282</Characters>
  <CharactersWithSpaces>439525</CharactersWithSpaces>
  <Paragraphs>5538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